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9B480" w14:textId="275595E7" w:rsidR="00C60121" w:rsidRPr="004D3634" w:rsidRDefault="007A2665" w:rsidP="005F72DB">
      <w:pPr>
        <w:spacing w:line="360" w:lineRule="auto"/>
        <w:ind w:left="2832" w:firstLine="708"/>
        <w:rPr>
          <w:b/>
          <w:bCs/>
        </w:rPr>
      </w:pPr>
      <w:r w:rsidRPr="004D3634">
        <w:rPr>
          <w:b/>
          <w:bCs/>
        </w:rPr>
        <w:t>Exma. Senhora Procuradora-Geral da República</w:t>
      </w:r>
    </w:p>
    <w:p w14:paraId="196475B1" w14:textId="77777777" w:rsidR="004D3634" w:rsidRDefault="004D3634" w:rsidP="005F72DB">
      <w:pPr>
        <w:spacing w:line="360" w:lineRule="auto"/>
        <w:ind w:left="2832" w:firstLine="708"/>
      </w:pPr>
    </w:p>
    <w:p w14:paraId="612463AC" w14:textId="77777777" w:rsidR="005F72DB" w:rsidRDefault="00861E58" w:rsidP="005F72DB">
      <w:pPr>
        <w:spacing w:line="360" w:lineRule="auto"/>
      </w:pPr>
      <w:r>
        <w:tab/>
      </w:r>
      <w:r w:rsidRPr="004D3634">
        <w:rPr>
          <w:b/>
          <w:bCs/>
        </w:rPr>
        <w:t>F………………………….,</w:t>
      </w:r>
      <w:r>
        <w:t xml:space="preserve"> médico, titular da cédula profissional número …, residente em …, vem apresentar </w:t>
      </w:r>
    </w:p>
    <w:p w14:paraId="341136BF" w14:textId="77777777" w:rsidR="005F72DB" w:rsidRPr="004D3634" w:rsidRDefault="00861E58" w:rsidP="005F72DB">
      <w:pPr>
        <w:spacing w:line="360" w:lineRule="auto"/>
        <w:ind w:firstLine="705"/>
        <w:rPr>
          <w:b/>
          <w:bCs/>
        </w:rPr>
      </w:pPr>
      <w:r w:rsidRPr="004D3634">
        <w:rPr>
          <w:b/>
          <w:bCs/>
        </w:rPr>
        <w:t xml:space="preserve">participação criminal </w:t>
      </w:r>
    </w:p>
    <w:p w14:paraId="0124C1C1" w14:textId="77777777" w:rsidR="005F72DB" w:rsidRDefault="00861E58" w:rsidP="005F72DB">
      <w:pPr>
        <w:spacing w:line="360" w:lineRule="auto"/>
        <w:ind w:firstLine="705"/>
      </w:pPr>
      <w:r>
        <w:t xml:space="preserve">contra </w:t>
      </w:r>
    </w:p>
    <w:p w14:paraId="30094973" w14:textId="3A7759CB" w:rsidR="005F72DB" w:rsidRPr="004D3634" w:rsidRDefault="005F72DB" w:rsidP="005F72DB">
      <w:pPr>
        <w:spacing w:line="360" w:lineRule="auto"/>
        <w:ind w:firstLine="705"/>
        <w:rPr>
          <w:b/>
          <w:bCs/>
        </w:rPr>
      </w:pPr>
      <w:r w:rsidRPr="004D3634">
        <w:rPr>
          <w:b/>
          <w:bCs/>
        </w:rPr>
        <w:t>I</w:t>
      </w:r>
      <w:r w:rsidR="00861E58" w:rsidRPr="004D3634">
        <w:rPr>
          <w:b/>
          <w:bCs/>
        </w:rPr>
        <w:t xml:space="preserve">ncertos, </w:t>
      </w:r>
    </w:p>
    <w:p w14:paraId="417E4048" w14:textId="7A29C8CD" w:rsidR="007A2665" w:rsidRDefault="00861E58" w:rsidP="005F72DB">
      <w:pPr>
        <w:spacing w:line="360" w:lineRule="auto"/>
        <w:ind w:firstLine="705"/>
      </w:pPr>
      <w:r>
        <w:t>porquanto:</w:t>
      </w:r>
    </w:p>
    <w:p w14:paraId="238F821D" w14:textId="0FBC9605" w:rsidR="00861E58" w:rsidRDefault="00861E58" w:rsidP="005F72DB">
      <w:pPr>
        <w:pStyle w:val="PargrafodaLista"/>
        <w:numPr>
          <w:ilvl w:val="0"/>
          <w:numId w:val="2"/>
        </w:numPr>
        <w:spacing w:line="360" w:lineRule="auto"/>
      </w:pPr>
      <w:r>
        <w:t>O Denunciante é médico e no exercício da sua profissão está habilitado a prescrever medicamentos de uso humano.</w:t>
      </w:r>
    </w:p>
    <w:p w14:paraId="0F95EFE4" w14:textId="77777777" w:rsidR="00861E58" w:rsidRDefault="00861E58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Sucede que a partir </w:t>
      </w:r>
      <w:r w:rsidR="004259E8" w:rsidRPr="004259E8">
        <w:t>da madrugada de 25 de Abril foram enviadas</w:t>
      </w:r>
      <w:r w:rsidR="004259E8">
        <w:t xml:space="preserve"> mensagens por telemóvel a um número </w:t>
      </w:r>
      <w:r w:rsidR="004259E8" w:rsidRPr="004259E8">
        <w:t xml:space="preserve">não quantificado de doentes, de receitas médicas emitidas a partir do local onde os doentes estão inscritos. </w:t>
      </w:r>
    </w:p>
    <w:p w14:paraId="05B805BE" w14:textId="77777777" w:rsidR="00861E58" w:rsidRDefault="002B7CCE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2B7CCE">
        <w:t>Para um melhor enquadramento da situação</w:t>
      </w:r>
      <w:r w:rsidR="004259E8">
        <w:t xml:space="preserve"> importa dizer que, no âmbito da situação de pandemia, foi aprovada </w:t>
      </w:r>
      <w:r w:rsidRPr="002B7CCE">
        <w:t xml:space="preserve">a Portaria 90-A/2020, de 9 de abril, que criou um </w:t>
      </w:r>
      <w:r w:rsidRPr="00861E58">
        <w:rPr>
          <w:i/>
        </w:rPr>
        <w:t>regime excecional e temporário relativo à prescrição eletrónica de medicamentos e respetiva receita médica, durante a vigência do estado de emergência em Portugal, motivado pela pandemia da COVID -19</w:t>
      </w:r>
      <w:r w:rsidRPr="002B7CCE">
        <w:t>.</w:t>
      </w:r>
    </w:p>
    <w:p w14:paraId="030BF549" w14:textId="77777777" w:rsidR="00861E58" w:rsidRDefault="002B7CCE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2B7CCE">
        <w:t>Nos termos deste normativo ficou estabelecido que “As receitas médicas das prescrições eletrónicas de medicamentos, com validade de seis meses, cujo prazo de vigência termine após a data de entrada em vigor da presente portaria, consideram -se automaticamente renovadas por igual período, nos termos do artigo 116.º do Decreto-Lei n.º 176/2006, de 30 de agosto, na sua redação atual.”</w:t>
      </w:r>
    </w:p>
    <w:p w14:paraId="4636788F" w14:textId="1B1B5802" w:rsidR="005E4613" w:rsidRPr="00F701D5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Determinou ainda que se consideram também renovadas as receitas médicas das prescrições que incluam:</w:t>
      </w:r>
    </w:p>
    <w:p w14:paraId="32BBF1EC" w14:textId="77777777" w:rsidR="005E4613" w:rsidRPr="00F701D5" w:rsidRDefault="005E4613" w:rsidP="005F72DB">
      <w:pPr>
        <w:numPr>
          <w:ilvl w:val="0"/>
          <w:numId w:val="1"/>
        </w:numPr>
        <w:spacing w:after="0" w:line="360" w:lineRule="auto"/>
        <w:jc w:val="both"/>
      </w:pPr>
      <w:r w:rsidRPr="00F701D5">
        <w:t>Medicamentos com a classificação farmacoterapêutica pertencente ao grupo 4.3.1.4 — Outros Anticoagulantes;</w:t>
      </w:r>
    </w:p>
    <w:p w14:paraId="6F3CBAC1" w14:textId="77777777" w:rsidR="005E4613" w:rsidRPr="00F701D5" w:rsidRDefault="005E4613" w:rsidP="005F72DB">
      <w:pPr>
        <w:numPr>
          <w:ilvl w:val="0"/>
          <w:numId w:val="1"/>
        </w:numPr>
        <w:spacing w:after="0" w:line="360" w:lineRule="auto"/>
        <w:jc w:val="both"/>
      </w:pPr>
      <w:r w:rsidRPr="00F701D5">
        <w:t>Produtos dietéticos indicados para satisfazer as necessidades nutricionais dos doentes afetados de erros congénitos do metabolismo, quando prescritos ao abrigo do Despacho n.º 25822/2005, do Secretário de Estado da Saúde, de 15 de dezembro, na sua redação atual;</w:t>
      </w:r>
    </w:p>
    <w:p w14:paraId="07D57E05" w14:textId="77777777" w:rsidR="005E4613" w:rsidRPr="00F701D5" w:rsidRDefault="005E4613" w:rsidP="005F72DB">
      <w:pPr>
        <w:numPr>
          <w:ilvl w:val="0"/>
          <w:numId w:val="1"/>
        </w:numPr>
        <w:spacing w:after="0" w:line="360" w:lineRule="auto"/>
        <w:jc w:val="both"/>
      </w:pPr>
      <w:r w:rsidRPr="00F701D5">
        <w:lastRenderedPageBreak/>
        <w:t>Alimentos e suplementos alimentares prescritos a crianças com sequelas respiratórias, neurológicas e/ou alimentares secundárias à prematuridade extrema ao abrigo da Portaria n.º 76/2018, de 14 de março.</w:t>
      </w:r>
    </w:p>
    <w:p w14:paraId="24503BB1" w14:textId="77777777" w:rsidR="005E4613" w:rsidRPr="00F701D5" w:rsidRDefault="005E4613" w:rsidP="005F72DB">
      <w:pPr>
        <w:numPr>
          <w:ilvl w:val="0"/>
          <w:numId w:val="1"/>
        </w:numPr>
        <w:spacing w:after="0" w:line="360" w:lineRule="auto"/>
        <w:jc w:val="both"/>
      </w:pPr>
      <w:r w:rsidRPr="00F701D5">
        <w:t>Dispositivos médicos comparticipados que se destinem a tratamentos de longa duração.</w:t>
      </w:r>
    </w:p>
    <w:p w14:paraId="62CE00E0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Estatuiu, ainda, a referida Portaria que o novo prazo de vigência da receita renovada automaticamente se conta a partir da data de cessação da vigência da receita inicial.</w:t>
      </w:r>
    </w:p>
    <w:p w14:paraId="63F2C103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Mais ficou determinado que os medicamentos prescritos eletronicamente em receitas médicas com validade de seis meses não podem ser integralmente dispensados num único momento, devendo as farmácias dispensar apenas o número de embalagens necessário para tratamento até dois meses.</w:t>
      </w:r>
    </w:p>
    <w:p w14:paraId="12153AAC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Esta Portaria era aplicável por si mesma, sem necessidade de outra regulamentação, pois o doente que fosse portador de uma receita das que acima ficaram elencadas, via a sua prescrição automaticamente renovada, caso não tivesse oportunidade de consultar o seu médico assistente.</w:t>
      </w:r>
    </w:p>
    <w:p w14:paraId="50C49583" w14:textId="23E48D80" w:rsidR="005E4613" w:rsidRPr="00F701D5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Não obstante não carecer de qualquer regulamentação, de outros atos administrativos ou procedimentais, a ACSS, o INFARMED e os SPMS, representados pelos respetivos Presidentes, emitiram a Circular Informativa Conjunta N.º 02/2020/ACSS/INFARMED/SPMS que, ao arrepio das normas existentes e constantes da Portaria 90-A/2020, vieram dizer o seguinte, em suposta interpreta</w:t>
      </w:r>
      <w:r w:rsidR="00D14D29">
        <w:t>ção</w:t>
      </w:r>
      <w:r w:rsidRPr="00F701D5">
        <w:t xml:space="preserve"> </w:t>
      </w:r>
      <w:r w:rsidR="00D14D29">
        <w:t>d</w:t>
      </w:r>
      <w:r w:rsidRPr="00F701D5">
        <w:t xml:space="preserve">este diploma legal (sublinhados </w:t>
      </w:r>
      <w:r>
        <w:t>nossos</w:t>
      </w:r>
      <w:r w:rsidRPr="00F701D5">
        <w:t>):</w:t>
      </w:r>
    </w:p>
    <w:p w14:paraId="20A8A32D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b/>
          <w:bCs/>
          <w:i/>
        </w:rPr>
        <w:t xml:space="preserve">“Prescrições abrangidas </w:t>
      </w:r>
    </w:p>
    <w:p w14:paraId="0088ADFF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t xml:space="preserve">Todas as receitas eletrónicas contendo medicação crónica (receitas materializadas/impressas e Receita Sem Papel - RSP) emitidas nos 6 meses anteriores ao dia 03 de abril de 2020 (vigência do estado de emergência) ou nos 30 dias antes para os produtos descritos abaixo. </w:t>
      </w:r>
    </w:p>
    <w:p w14:paraId="1687CF67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t xml:space="preserve">Assim, </w:t>
      </w:r>
      <w:r w:rsidRPr="005E4613">
        <w:rPr>
          <w:i/>
          <w:u w:val="single"/>
        </w:rPr>
        <w:t>serão emitidas novas receitas</w:t>
      </w:r>
      <w:r w:rsidRPr="005E4613">
        <w:rPr>
          <w:i/>
        </w:rPr>
        <w:t xml:space="preserve">, cuja prescrição ocorreu a partir de: </w:t>
      </w:r>
    </w:p>
    <w:p w14:paraId="732C6BFF" w14:textId="77777777" w:rsidR="005E4613" w:rsidRPr="005E4613" w:rsidRDefault="005E4613" w:rsidP="005F72DB">
      <w:pPr>
        <w:spacing w:after="0" w:line="360" w:lineRule="auto"/>
        <w:ind w:left="1416"/>
        <w:jc w:val="both"/>
        <w:rPr>
          <w:i/>
        </w:rPr>
      </w:pPr>
      <w:r w:rsidRPr="005E4613">
        <w:rPr>
          <w:i/>
        </w:rPr>
        <w:sym w:font="Calibri" w:char="F0B7"/>
      </w:r>
      <w:r w:rsidRPr="005E4613">
        <w:rPr>
          <w:i/>
        </w:rPr>
        <w:t xml:space="preserve"> Validade de 6 meses: </w:t>
      </w:r>
      <w:r w:rsidRPr="005E4613">
        <w:rPr>
          <w:b/>
          <w:bCs/>
          <w:i/>
        </w:rPr>
        <w:t>02 de outubro de 2019</w:t>
      </w:r>
      <w:r w:rsidRPr="005E4613">
        <w:rPr>
          <w:i/>
        </w:rPr>
        <w:t xml:space="preserve">; </w:t>
      </w:r>
    </w:p>
    <w:p w14:paraId="0A380938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sym w:font="Calibri" w:char="F0B7"/>
      </w:r>
      <w:r w:rsidRPr="005E4613">
        <w:rPr>
          <w:i/>
        </w:rPr>
        <w:t xml:space="preserve"> Validade de 30 dias: </w:t>
      </w:r>
      <w:r w:rsidRPr="005E4613">
        <w:rPr>
          <w:b/>
          <w:bCs/>
          <w:i/>
        </w:rPr>
        <w:t>04 de março de 2020</w:t>
      </w:r>
      <w:r w:rsidRPr="005E4613">
        <w:rPr>
          <w:i/>
        </w:rPr>
        <w:t xml:space="preserve">. </w:t>
      </w:r>
    </w:p>
    <w:p w14:paraId="22C650AF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t xml:space="preserve"> (…) </w:t>
      </w:r>
    </w:p>
    <w:p w14:paraId="2D120AEA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b/>
          <w:bCs/>
          <w:i/>
        </w:rPr>
        <w:t xml:space="preserve">Acesso à prescrição renovada automaticamente </w:t>
      </w:r>
    </w:p>
    <w:p w14:paraId="28397579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lastRenderedPageBreak/>
        <w:t xml:space="preserve">As receitas serão enviadas diariamente, no dia seguinte ao último dia de validade da receita anterior, e contêm a mesma informação: medicamentos/produtos prescritos, número de embalagens, posologia, condições de comparticipação, etc. </w:t>
      </w:r>
    </w:p>
    <w:p w14:paraId="3F5C5ADB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t xml:space="preserve">Estas receitas serão emitidas no formato de RSP e enviadas por SMS, de preferência, para o contacto utilizado no envio da receita original, de outras receitas ou para os contactos disponíveis no Registo Nacional de Utentes (RNU). </w:t>
      </w:r>
    </w:p>
    <w:p w14:paraId="55164A5D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t xml:space="preserve">Caso o SNS não disponha de qualquer contacto do utente, não será possível o envio desta RSP, contudo os serviços de saúde mantêm-se disponíveis, pelo que os utentes não devem deixar de tomar a sua habitual medicação. </w:t>
      </w:r>
    </w:p>
    <w:p w14:paraId="532FC493" w14:textId="77777777" w:rsidR="005E4613" w:rsidRPr="005E4613" w:rsidRDefault="005E4613" w:rsidP="005F72DB">
      <w:pPr>
        <w:spacing w:line="360" w:lineRule="auto"/>
        <w:ind w:left="1416"/>
        <w:jc w:val="both"/>
        <w:rPr>
          <w:i/>
        </w:rPr>
      </w:pPr>
      <w:r w:rsidRPr="005E4613">
        <w:rPr>
          <w:i/>
        </w:rPr>
        <w:t xml:space="preserve">A mensagem recebida contém o número de receita e o código de acesso e dispensa que têm de ser dados à farmácia para poder ser feita a dispensa. Esta mensagem contém ainda o código de opção, para o utente utilizar quando quiser escolher um medicamento mais caro. </w:t>
      </w:r>
    </w:p>
    <w:p w14:paraId="6A951FBB" w14:textId="63265404" w:rsidR="005E4613" w:rsidRPr="005E4613" w:rsidRDefault="005E4613" w:rsidP="005F72DB">
      <w:pPr>
        <w:spacing w:line="360" w:lineRule="auto"/>
        <w:ind w:left="1416"/>
        <w:jc w:val="both"/>
        <w:rPr>
          <w:i/>
          <w:iCs/>
        </w:rPr>
      </w:pPr>
      <w:r w:rsidRPr="005E4613">
        <w:rPr>
          <w:i/>
        </w:rPr>
        <w:t xml:space="preserve">Como medida preventiva e de informação aos utentes que recebam um SMS com informação de uma RSP automática proveniente de uma prescrição anterior, será enviada uma segunda SMS com indicações referentes à SMS de RSP recebida, com o seguinte conteúdo: </w:t>
      </w:r>
      <w:r w:rsidRPr="005E4613">
        <w:rPr>
          <w:i/>
          <w:iCs/>
        </w:rPr>
        <w:t xml:space="preserve">A receita foi emitida com base num processo automático para evitar a sua deslocação ao centro de saude. Guia de tratamento na </w:t>
      </w:r>
      <w:r w:rsidR="00661B30">
        <w:rPr>
          <w:i/>
          <w:iCs/>
        </w:rPr>
        <w:t>á</w:t>
      </w:r>
      <w:r w:rsidRPr="005E4613">
        <w:rPr>
          <w:i/>
          <w:iCs/>
        </w:rPr>
        <w:t>rea do cidad</w:t>
      </w:r>
      <w:r w:rsidR="00661B30">
        <w:rPr>
          <w:i/>
          <w:iCs/>
        </w:rPr>
        <w:t>ã</w:t>
      </w:r>
      <w:r w:rsidRPr="005E4613">
        <w:rPr>
          <w:i/>
          <w:iCs/>
        </w:rPr>
        <w:t xml:space="preserve">o </w:t>
      </w:r>
      <w:hyperlink r:id="rId5" w:history="1">
        <w:r w:rsidRPr="005E4613">
          <w:rPr>
            <w:rStyle w:val="Hiperligao"/>
            <w:i/>
            <w:iCs/>
          </w:rPr>
          <w:t>www.sns.gov.pt</w:t>
        </w:r>
      </w:hyperlink>
      <w:r w:rsidRPr="005E4613">
        <w:rPr>
          <w:i/>
          <w:iCs/>
        </w:rPr>
        <w:t>.”</w:t>
      </w:r>
    </w:p>
    <w:p w14:paraId="2B9304CA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 xml:space="preserve">Ora esta Circular, embora dita </w:t>
      </w:r>
      <w:r w:rsidRPr="00861E58">
        <w:rPr>
          <w:i/>
        </w:rPr>
        <w:t>Informativa</w:t>
      </w:r>
      <w:r w:rsidRPr="00F701D5">
        <w:t>, veio dar instruções aos serviços para que fossem emitidas prescrições eletrónicas automáticas, contrariando o que estava legalmente determinado e sem que para tanto houvesse fundamento ou necessidade.</w:t>
      </w:r>
    </w:p>
    <w:p w14:paraId="2E840FCD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A</w:t>
      </w:r>
      <w:r w:rsidR="00861E58">
        <w:t xml:space="preserve">ssim no caso do Denunciante este tem conhecimento de que foram, pelo menos, emitidas as seguintes prescrições:…………………………………….(identificar e se houver prescrições em que não tenha sido respeitada a medicação que </w:t>
      </w:r>
      <w:r w:rsidRPr="00F701D5">
        <w:t xml:space="preserve">os doentes vinham tomando, </w:t>
      </w:r>
      <w:r w:rsidR="00861E58">
        <w:t>já que foram</w:t>
      </w:r>
      <w:r w:rsidRPr="00F701D5">
        <w:t xml:space="preserve"> emitidas receitas com medicamentos que haviam sido suspensos pelos médicos</w:t>
      </w:r>
      <w:r w:rsidR="00861E58">
        <w:t>, por favor não deixar de referir).</w:t>
      </w:r>
    </w:p>
    <w:p w14:paraId="1FF9BE6C" w14:textId="77777777" w:rsidR="00861E58" w:rsidRDefault="00861E58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</w:t>
      </w:r>
      <w:r w:rsidR="00D14D29" w:rsidRPr="00F701D5">
        <w:t>um primeiro momento, as prescrições continham como identificação do prescritor o n.º 900002</w:t>
      </w:r>
      <w:r w:rsidR="00D14D29">
        <w:t xml:space="preserve"> e por isso sem qualquer correspondência com os números de cédulas da OM</w:t>
      </w:r>
      <w:r w:rsidR="00D14D29" w:rsidRPr="00F701D5">
        <w:t>, enquanto num segundo momento, as receitas passaram a identificar o</w:t>
      </w:r>
      <w:r>
        <w:t xml:space="preserve"> </w:t>
      </w:r>
      <w:r>
        <w:lastRenderedPageBreak/>
        <w:t xml:space="preserve">Denunciante </w:t>
      </w:r>
      <w:r w:rsidR="00D14D29" w:rsidRPr="00F701D5">
        <w:t>como autor d</w:t>
      </w:r>
      <w:r>
        <w:t>a</w:t>
      </w:r>
      <w:r w:rsidR="00D14D29" w:rsidRPr="00F701D5">
        <w:t xml:space="preserve"> prescriç</w:t>
      </w:r>
      <w:r>
        <w:t>ão</w:t>
      </w:r>
      <w:r w:rsidR="00D14D29">
        <w:t>, com a expressa menção ao respetivo número de cédula profissional</w:t>
      </w:r>
      <w:r>
        <w:t xml:space="preserve"> – o número ….</w:t>
      </w:r>
    </w:p>
    <w:p w14:paraId="2B674EAF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 xml:space="preserve">Tudo sem que o </w:t>
      </w:r>
      <w:r w:rsidR="00861E58">
        <w:t>Denunciante</w:t>
      </w:r>
      <w:r w:rsidRPr="00F701D5">
        <w:t xml:space="preserve"> soubesse ou tivesse autorizado a utilização dos seus dados profissionais de identificação e, bem assim, sem que os doentes tenham consentido </w:t>
      </w:r>
      <w:r>
        <w:t>n</w:t>
      </w:r>
      <w:r w:rsidRPr="00F701D5">
        <w:t>o acesso aos seus dados de saúde.</w:t>
      </w:r>
    </w:p>
    <w:p w14:paraId="458C627B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A situação descrita consubstancia a prática de ilícitos de diversa ordem e natureza.</w:t>
      </w:r>
    </w:p>
    <w:p w14:paraId="5E48BA1F" w14:textId="77777777" w:rsidR="00861E58" w:rsidRDefault="00D14D29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</w:t>
      </w:r>
      <w:r w:rsidR="005E4613" w:rsidRPr="00F701D5">
        <w:t xml:space="preserve">ão há dúvidas que a “Circular Informativa” e as instruções que a mesma encerra são absolutamente ilegais pois é </w:t>
      </w:r>
      <w:r w:rsidR="005E4613">
        <w:t xml:space="preserve">claramente </w:t>
      </w:r>
      <w:r w:rsidR="005E4613" w:rsidRPr="00F701D5">
        <w:t>violada a Portaria 90-A/2020, de 9 de abril</w:t>
      </w:r>
      <w:r w:rsidR="005E4613">
        <w:t xml:space="preserve">, que não permite, de forma alguma a emissão de receituário automático e, bem assim as </w:t>
      </w:r>
      <w:r w:rsidR="004E1257">
        <w:t xml:space="preserve">regras </w:t>
      </w:r>
      <w:r w:rsidR="005E4613">
        <w:t>de prescrição</w:t>
      </w:r>
      <w:r w:rsidR="004E1257">
        <w:t xml:space="preserve"> de medicamentos,</w:t>
      </w:r>
      <w:r w:rsidR="005E4613">
        <w:t xml:space="preserve"> constantes do </w:t>
      </w:r>
      <w:r w:rsidR="004E1257" w:rsidRPr="00861E58">
        <w:rPr>
          <w:b/>
          <w:bCs/>
        </w:rPr>
        <w:t>  </w:t>
      </w:r>
      <w:r w:rsidR="004E1257" w:rsidRPr="00861E58">
        <w:rPr>
          <w:bCs/>
        </w:rPr>
        <w:t>Regime Jurídico dos Medicamentos de Uso Humano</w:t>
      </w:r>
      <w:r w:rsidR="005E4613" w:rsidRPr="004E1257">
        <w:t>,</w:t>
      </w:r>
      <w:r w:rsidR="005E4613">
        <w:t xml:space="preserve"> aprovado pelo </w:t>
      </w:r>
      <w:r w:rsidR="004E1257">
        <w:t>Decreto-Lei n.º 176/2006, de 30 de agosto, na versão que atualmente vigora</w:t>
      </w:r>
      <w:r w:rsidR="005E4613" w:rsidRPr="00F701D5">
        <w:t>.</w:t>
      </w:r>
    </w:p>
    <w:p w14:paraId="65D91A1E" w14:textId="77777777" w:rsidR="00861E58" w:rsidRDefault="004E1257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Por outro lado, foi gravemente violado </w:t>
      </w:r>
      <w:r w:rsidR="005E4613" w:rsidRPr="00F701D5">
        <w:t>o Regulamento Geral de Proteção de Dados.</w:t>
      </w:r>
    </w:p>
    <w:p w14:paraId="0FA4327A" w14:textId="77777777" w:rsidR="00861E58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>Com efeito, houve um acesso ilegítimo e não justificado aos dados de saúde dos doentes, que são dados sensíveis especialmente protegidos, assim como um acesso e utilização ilícitos aos dados de identificação do médico</w:t>
      </w:r>
      <w:r w:rsidR="00861E58">
        <w:t xml:space="preserve"> aqui denunciante.</w:t>
      </w:r>
    </w:p>
    <w:p w14:paraId="13573DAA" w14:textId="0A466E41" w:rsidR="005F72DB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 xml:space="preserve">Consequentemente, foram emitidas prescrições eletrónicas falsas, </w:t>
      </w:r>
      <w:r w:rsidR="00861E58">
        <w:t>em nome do Denunciante</w:t>
      </w:r>
      <w:r w:rsidR="005F72DB">
        <w:t xml:space="preserve">, por pessoas </w:t>
      </w:r>
      <w:r w:rsidRPr="00F701D5">
        <w:t>não médic</w:t>
      </w:r>
      <w:r w:rsidR="005F72DB">
        <w:t>a</w:t>
      </w:r>
      <w:r w:rsidRPr="00F701D5">
        <w:t>s</w:t>
      </w:r>
      <w:r w:rsidR="005F72DB">
        <w:t xml:space="preserve"> e a partir das aplicações informáticas detidas pela SPMS – Serviços Partilhados dos Ministério da Saúde</w:t>
      </w:r>
      <w:r w:rsidRPr="00F701D5">
        <w:t xml:space="preserve"> e com a utilização dos elemento</w:t>
      </w:r>
      <w:r w:rsidR="00661B30">
        <w:t>s</w:t>
      </w:r>
      <w:r w:rsidRPr="00F701D5">
        <w:t xml:space="preserve"> de identificação profissional </w:t>
      </w:r>
      <w:r w:rsidR="005F72DB">
        <w:t>do Denunciante</w:t>
      </w:r>
      <w:r w:rsidR="004E1257">
        <w:t>, tudo supostamente de forma “automática”</w:t>
      </w:r>
      <w:r w:rsidRPr="00F701D5">
        <w:t>.</w:t>
      </w:r>
    </w:p>
    <w:p w14:paraId="309C1BCA" w14:textId="4B00739A" w:rsidR="005F72DB" w:rsidRDefault="005E4613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 w:rsidRPr="00F701D5">
        <w:t xml:space="preserve">Tais prescrições foram, inclusive, “buscar” dados a </w:t>
      </w:r>
      <w:r w:rsidR="004E1257">
        <w:t xml:space="preserve">receitas </w:t>
      </w:r>
      <w:r w:rsidRPr="00F701D5">
        <w:t>antigas, referentes a medicamentos que o</w:t>
      </w:r>
      <w:r w:rsidR="005F72DB">
        <w:t xml:space="preserve"> Denunciante </w:t>
      </w:r>
      <w:r w:rsidRPr="00F701D5">
        <w:t xml:space="preserve">já havia suspendido, </w:t>
      </w:r>
      <w:r w:rsidR="00D9387C">
        <w:t xml:space="preserve">criando </w:t>
      </w:r>
      <w:r w:rsidRPr="00F701D5">
        <w:t>um efetivo perigo para a saúde dos doentes</w:t>
      </w:r>
      <w:r w:rsidR="00D9387C">
        <w:t>, pois haverá certamente doente</w:t>
      </w:r>
      <w:r w:rsidR="00661B30">
        <w:t>s</w:t>
      </w:r>
      <w:r w:rsidR="00D9387C">
        <w:t xml:space="preserve"> que sem se aperceberem que não tinham sido o</w:t>
      </w:r>
      <w:r w:rsidR="005F72DB">
        <w:t xml:space="preserve"> Denunciante </w:t>
      </w:r>
      <w:r w:rsidR="00D9387C">
        <w:t>a prescrever os medicamentos, os aviaram e tomaram.</w:t>
      </w:r>
    </w:p>
    <w:p w14:paraId="3F18D9B0" w14:textId="2834A9F4" w:rsidR="00D14D29" w:rsidRDefault="00D9387C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A receção das mensagens gerou, também, </w:t>
      </w:r>
      <w:r w:rsidR="005E4613" w:rsidRPr="00F701D5">
        <w:t xml:space="preserve">desconfiança dos </w:t>
      </w:r>
      <w:r w:rsidR="005F72DB">
        <w:t>seus utentes no Denunciante</w:t>
      </w:r>
      <w:r w:rsidR="004E1257">
        <w:t>, pois por um lado, não compreendem como permit</w:t>
      </w:r>
      <w:r w:rsidR="005F72DB">
        <w:t>iu</w:t>
      </w:r>
      <w:r w:rsidR="004E1257">
        <w:t xml:space="preserve"> o acesso aos seus dados de saúde e, por outro, porque consideraram que este havia emitido receitas erradas</w:t>
      </w:r>
      <w:r w:rsidR="005E4613" w:rsidRPr="00F701D5">
        <w:t>.</w:t>
      </w:r>
    </w:p>
    <w:p w14:paraId="6585E888" w14:textId="77777777" w:rsidR="005F72DB" w:rsidRDefault="005F72DB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Encontra-se assim suficientemente indiciada a prática, de forma livre, intencional e consciente, de um crime, na forma continuada, de falsificação de documento, previsto e punido pelo Código Penal Português.</w:t>
      </w:r>
    </w:p>
    <w:p w14:paraId="37640E1A" w14:textId="6B05BDE4" w:rsidR="002B7CCE" w:rsidRDefault="00D9387C" w:rsidP="005F72DB">
      <w:pPr>
        <w:pStyle w:val="PargrafodaLista"/>
        <w:numPr>
          <w:ilvl w:val="0"/>
          <w:numId w:val="2"/>
        </w:numPr>
        <w:spacing w:line="360" w:lineRule="auto"/>
        <w:jc w:val="both"/>
      </w:pPr>
      <w:r>
        <w:lastRenderedPageBreak/>
        <w:t>Em face do que acima ficou dito, requer-se a V. Ex.ª se</w:t>
      </w:r>
      <w:r w:rsidR="005F72DB">
        <w:t xml:space="preserve"> digne</w:t>
      </w:r>
      <w:r>
        <w:t xml:space="preserve"> desencade</w:t>
      </w:r>
      <w:r w:rsidR="005F72DB">
        <w:t>ar</w:t>
      </w:r>
      <w:r>
        <w:t xml:space="preserve"> as diligências necessárias à averiguação do sucedido e, se</w:t>
      </w:r>
      <w:r w:rsidR="005F72DB">
        <w:t>ndo cas</w:t>
      </w:r>
      <w:r>
        <w:t>o disso, o apuramento das responsabilidades criminais que se verifiquem.</w:t>
      </w:r>
    </w:p>
    <w:p w14:paraId="147DDB22" w14:textId="77777777" w:rsidR="0025163C" w:rsidRDefault="0025163C" w:rsidP="005F72DB">
      <w:pPr>
        <w:spacing w:line="360" w:lineRule="auto"/>
        <w:jc w:val="both"/>
      </w:pPr>
    </w:p>
    <w:p w14:paraId="29893EC2" w14:textId="11395EB0" w:rsidR="005F72DB" w:rsidRDefault="00D9387C" w:rsidP="00D9387C">
      <w:pPr>
        <w:jc w:val="center"/>
      </w:pPr>
      <w:r>
        <w:t xml:space="preserve">O </w:t>
      </w:r>
      <w:r w:rsidR="005F72DB">
        <w:t>Médico,</w:t>
      </w:r>
    </w:p>
    <w:sectPr w:rsidR="005F7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501D"/>
    <w:multiLevelType w:val="hybridMultilevel"/>
    <w:tmpl w:val="11F4435E"/>
    <w:lvl w:ilvl="0" w:tplc="774AC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1A575A"/>
    <w:multiLevelType w:val="hybridMultilevel"/>
    <w:tmpl w:val="ECD692B4"/>
    <w:lvl w:ilvl="0" w:tplc="08160017">
      <w:start w:val="1"/>
      <w:numFmt w:val="lowerLetter"/>
      <w:lvlText w:val="%1)"/>
      <w:lvlJc w:val="left"/>
      <w:pPr>
        <w:ind w:left="1776" w:hanging="360"/>
      </w:p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>
      <w:start w:val="1"/>
      <w:numFmt w:val="lowerRoman"/>
      <w:lvlText w:val="%3."/>
      <w:lvlJc w:val="right"/>
      <w:pPr>
        <w:ind w:left="3216" w:hanging="180"/>
      </w:pPr>
    </w:lvl>
    <w:lvl w:ilvl="3" w:tplc="0816000F">
      <w:start w:val="1"/>
      <w:numFmt w:val="decimal"/>
      <w:lvlText w:val="%4."/>
      <w:lvlJc w:val="left"/>
      <w:pPr>
        <w:ind w:left="3936" w:hanging="360"/>
      </w:pPr>
    </w:lvl>
    <w:lvl w:ilvl="4" w:tplc="08160019">
      <w:start w:val="1"/>
      <w:numFmt w:val="lowerLetter"/>
      <w:lvlText w:val="%5."/>
      <w:lvlJc w:val="left"/>
      <w:pPr>
        <w:ind w:left="4656" w:hanging="360"/>
      </w:pPr>
    </w:lvl>
    <w:lvl w:ilvl="5" w:tplc="0816001B">
      <w:start w:val="1"/>
      <w:numFmt w:val="lowerRoman"/>
      <w:lvlText w:val="%6."/>
      <w:lvlJc w:val="right"/>
      <w:pPr>
        <w:ind w:left="5376" w:hanging="180"/>
      </w:pPr>
    </w:lvl>
    <w:lvl w:ilvl="6" w:tplc="0816000F">
      <w:start w:val="1"/>
      <w:numFmt w:val="decimal"/>
      <w:lvlText w:val="%7."/>
      <w:lvlJc w:val="left"/>
      <w:pPr>
        <w:ind w:left="6096" w:hanging="360"/>
      </w:pPr>
    </w:lvl>
    <w:lvl w:ilvl="7" w:tplc="08160019">
      <w:start w:val="1"/>
      <w:numFmt w:val="lowerLetter"/>
      <w:lvlText w:val="%8."/>
      <w:lvlJc w:val="left"/>
      <w:pPr>
        <w:ind w:left="6816" w:hanging="360"/>
      </w:pPr>
    </w:lvl>
    <w:lvl w:ilvl="8" w:tplc="08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65"/>
    <w:rsid w:val="0001299B"/>
    <w:rsid w:val="0025163C"/>
    <w:rsid w:val="002B7CCE"/>
    <w:rsid w:val="004259E8"/>
    <w:rsid w:val="00452F70"/>
    <w:rsid w:val="004D3634"/>
    <w:rsid w:val="004E1257"/>
    <w:rsid w:val="005E4613"/>
    <w:rsid w:val="005F72DB"/>
    <w:rsid w:val="00661B30"/>
    <w:rsid w:val="00794E4B"/>
    <w:rsid w:val="007A2665"/>
    <w:rsid w:val="007B5F29"/>
    <w:rsid w:val="00861E58"/>
    <w:rsid w:val="0089005C"/>
    <w:rsid w:val="00934AE3"/>
    <w:rsid w:val="00B9777B"/>
    <w:rsid w:val="00C60121"/>
    <w:rsid w:val="00D14D29"/>
    <w:rsid w:val="00D9387C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23D"/>
  <w15:docId w15:val="{69CEEA4D-41D3-4507-A59B-5817205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7C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59E8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s.gov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Rodrigues</cp:lastModifiedBy>
  <cp:revision>2</cp:revision>
  <dcterms:created xsi:type="dcterms:W3CDTF">2020-06-04T18:27:00Z</dcterms:created>
  <dcterms:modified xsi:type="dcterms:W3CDTF">2020-06-04T18:27:00Z</dcterms:modified>
</cp:coreProperties>
</file>