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CE" w:rsidRDefault="006045FA" w:rsidP="000D4E29">
      <w:pPr>
        <w:spacing w:before="240" w:after="0" w:line="320" w:lineRule="atLeast"/>
        <w:jc w:val="both"/>
        <w:rPr>
          <w:sz w:val="24"/>
          <w:szCs w:val="24"/>
        </w:rPr>
      </w:pPr>
      <w:proofErr w:type="spellStart"/>
      <w:r>
        <w:rPr>
          <w:sz w:val="24"/>
          <w:szCs w:val="24"/>
        </w:rPr>
        <w:t>Exmo</w:t>
      </w:r>
      <w:proofErr w:type="spellEnd"/>
      <w:r>
        <w:rPr>
          <w:sz w:val="24"/>
          <w:szCs w:val="24"/>
        </w:rPr>
        <w:t xml:space="preserve"> </w:t>
      </w:r>
      <w:proofErr w:type="spellStart"/>
      <w:r>
        <w:rPr>
          <w:sz w:val="24"/>
          <w:szCs w:val="24"/>
        </w:rPr>
        <w:t>Sr</w:t>
      </w:r>
      <w:r w:rsidR="00A75CDE">
        <w:rPr>
          <w:sz w:val="24"/>
          <w:szCs w:val="24"/>
        </w:rPr>
        <w:t>a</w:t>
      </w:r>
      <w:proofErr w:type="spellEnd"/>
      <w:r>
        <w:rPr>
          <w:sz w:val="24"/>
          <w:szCs w:val="24"/>
        </w:rPr>
        <w:t xml:space="preserve"> Presidente d</w:t>
      </w:r>
      <w:r w:rsidR="00827997">
        <w:rPr>
          <w:sz w:val="24"/>
          <w:szCs w:val="24"/>
        </w:rPr>
        <w:t>a Comissão P</w:t>
      </w:r>
      <w:r w:rsidR="00C67ECE" w:rsidRPr="000D4E29">
        <w:rPr>
          <w:sz w:val="24"/>
          <w:szCs w:val="24"/>
        </w:rPr>
        <w:t>arlamentar de Saúde</w:t>
      </w:r>
    </w:p>
    <w:p w:rsidR="00A75CDE" w:rsidRPr="000D4E29" w:rsidRDefault="00A75CDE" w:rsidP="000D4E29">
      <w:pPr>
        <w:spacing w:before="240" w:after="0" w:line="320" w:lineRule="atLeast"/>
        <w:jc w:val="both"/>
        <w:rPr>
          <w:sz w:val="24"/>
          <w:szCs w:val="24"/>
        </w:rPr>
      </w:pPr>
      <w:r>
        <w:rPr>
          <w:sz w:val="24"/>
          <w:szCs w:val="24"/>
        </w:rPr>
        <w:t>Deputada Dra Maria Antónia de Almeida Santos</w:t>
      </w:r>
    </w:p>
    <w:p w:rsidR="00C67ECE" w:rsidRPr="000D4E29" w:rsidRDefault="00C67ECE" w:rsidP="000D4E29">
      <w:pPr>
        <w:spacing w:before="240" w:after="0" w:line="320" w:lineRule="atLeast"/>
        <w:jc w:val="both"/>
        <w:rPr>
          <w:sz w:val="24"/>
          <w:szCs w:val="24"/>
        </w:rPr>
      </w:pPr>
      <w:r w:rsidRPr="000D4E29">
        <w:rPr>
          <w:sz w:val="24"/>
          <w:szCs w:val="24"/>
        </w:rPr>
        <w:t>Assembleia da República</w:t>
      </w:r>
    </w:p>
    <w:p w:rsidR="00C67ECE" w:rsidRPr="000D4E29" w:rsidRDefault="00C67ECE" w:rsidP="000D4E29">
      <w:pPr>
        <w:spacing w:before="240" w:after="0" w:line="320" w:lineRule="atLeast"/>
        <w:jc w:val="both"/>
        <w:rPr>
          <w:sz w:val="24"/>
          <w:szCs w:val="24"/>
        </w:rPr>
      </w:pPr>
      <w:r w:rsidRPr="000D4E29">
        <w:rPr>
          <w:sz w:val="24"/>
          <w:szCs w:val="24"/>
        </w:rPr>
        <w:t>Palácio de S. Bento</w:t>
      </w:r>
    </w:p>
    <w:p w:rsidR="00C67ECE" w:rsidRPr="000D4E29" w:rsidRDefault="00C67ECE" w:rsidP="000D4E29">
      <w:pPr>
        <w:spacing w:before="240" w:after="0" w:line="320" w:lineRule="atLeast"/>
        <w:jc w:val="both"/>
        <w:rPr>
          <w:sz w:val="24"/>
          <w:szCs w:val="24"/>
        </w:rPr>
      </w:pPr>
      <w:r w:rsidRPr="000D4E29">
        <w:rPr>
          <w:sz w:val="24"/>
          <w:szCs w:val="24"/>
        </w:rPr>
        <w:t>1249-068 Lisboa</w:t>
      </w:r>
    </w:p>
    <w:p w:rsidR="00C67ECE" w:rsidRPr="000D4E29" w:rsidRDefault="00C67ECE" w:rsidP="000D4E29">
      <w:pPr>
        <w:spacing w:before="240" w:after="0" w:line="320" w:lineRule="atLeast"/>
        <w:jc w:val="both"/>
        <w:rPr>
          <w:sz w:val="24"/>
          <w:szCs w:val="24"/>
        </w:rPr>
      </w:pPr>
    </w:p>
    <w:p w:rsidR="00C67ECE" w:rsidRPr="000D4E29" w:rsidRDefault="00827997" w:rsidP="000D4E29">
      <w:pPr>
        <w:spacing w:before="240" w:after="0" w:line="320" w:lineRule="atLeast"/>
        <w:jc w:val="both"/>
        <w:rPr>
          <w:sz w:val="24"/>
          <w:szCs w:val="24"/>
        </w:rPr>
      </w:pPr>
      <w:proofErr w:type="spellStart"/>
      <w:r>
        <w:rPr>
          <w:sz w:val="24"/>
          <w:szCs w:val="24"/>
        </w:rPr>
        <w:t>Cc</w:t>
      </w:r>
      <w:proofErr w:type="spellEnd"/>
      <w:r>
        <w:rPr>
          <w:sz w:val="24"/>
          <w:szCs w:val="24"/>
        </w:rPr>
        <w:t xml:space="preserve">: </w:t>
      </w:r>
      <w:r w:rsidR="00A51A63">
        <w:rPr>
          <w:sz w:val="24"/>
          <w:szCs w:val="24"/>
        </w:rPr>
        <w:t>Presidência da República</w:t>
      </w:r>
      <w:r>
        <w:rPr>
          <w:sz w:val="24"/>
          <w:szCs w:val="24"/>
        </w:rPr>
        <w:t>, Ministro e Secretários de Estado da Saúde, Associações de Doentes</w:t>
      </w:r>
      <w:r w:rsidR="00A51A63">
        <w:rPr>
          <w:sz w:val="24"/>
          <w:szCs w:val="24"/>
        </w:rPr>
        <w:t>,</w:t>
      </w:r>
      <w:r w:rsidR="00A51A63" w:rsidRPr="000D4E29">
        <w:rPr>
          <w:sz w:val="24"/>
          <w:szCs w:val="24"/>
        </w:rPr>
        <w:t xml:space="preserve"> Presidente do INFARMED</w:t>
      </w:r>
      <w:r w:rsidR="00B022AC">
        <w:rPr>
          <w:sz w:val="24"/>
          <w:szCs w:val="24"/>
        </w:rPr>
        <w:t>, Presidente do Tribunal de Contas</w:t>
      </w:r>
      <w:r w:rsidR="00A51A63">
        <w:rPr>
          <w:sz w:val="24"/>
          <w:szCs w:val="24"/>
        </w:rPr>
        <w:t>.</w:t>
      </w:r>
    </w:p>
    <w:p w:rsidR="00C67ECE" w:rsidRPr="000D4E29" w:rsidRDefault="00C67ECE" w:rsidP="000D4E29">
      <w:pPr>
        <w:spacing w:before="240" w:after="0" w:line="320" w:lineRule="atLeast"/>
        <w:jc w:val="both"/>
        <w:rPr>
          <w:sz w:val="24"/>
          <w:szCs w:val="24"/>
        </w:rPr>
      </w:pPr>
    </w:p>
    <w:p w:rsidR="00C67ECE" w:rsidRPr="000D4E29" w:rsidRDefault="00C67ECE" w:rsidP="000D4E29">
      <w:pPr>
        <w:spacing w:before="240" w:after="0" w:line="320" w:lineRule="atLeast"/>
        <w:jc w:val="both"/>
        <w:rPr>
          <w:sz w:val="24"/>
          <w:szCs w:val="24"/>
        </w:rPr>
      </w:pPr>
      <w:r w:rsidRPr="000D4E29">
        <w:rPr>
          <w:sz w:val="24"/>
          <w:szCs w:val="24"/>
        </w:rPr>
        <w:t xml:space="preserve">Assunto: </w:t>
      </w:r>
      <w:r w:rsidR="00996FC6">
        <w:rPr>
          <w:sz w:val="24"/>
          <w:szCs w:val="24"/>
        </w:rPr>
        <w:t>Posição</w:t>
      </w:r>
      <w:r w:rsidRPr="000D4E29">
        <w:rPr>
          <w:sz w:val="24"/>
          <w:szCs w:val="24"/>
        </w:rPr>
        <w:t xml:space="preserve"> da Ordem dos Médicos</w:t>
      </w:r>
      <w:r w:rsidR="00996FC6">
        <w:rPr>
          <w:sz w:val="24"/>
          <w:szCs w:val="24"/>
        </w:rPr>
        <w:t xml:space="preserve"> relativa a uma potencial alteração da actual legislação sobre prescrição por DCI.</w:t>
      </w:r>
    </w:p>
    <w:p w:rsidR="00C67ECE" w:rsidRPr="000D4E29" w:rsidRDefault="00C67ECE" w:rsidP="000D4E29">
      <w:pPr>
        <w:spacing w:before="240" w:after="0" w:line="320" w:lineRule="atLeast"/>
        <w:jc w:val="both"/>
        <w:rPr>
          <w:sz w:val="24"/>
          <w:szCs w:val="24"/>
        </w:rPr>
      </w:pPr>
    </w:p>
    <w:p w:rsidR="00C67ECE" w:rsidRPr="000D4E29" w:rsidRDefault="00C67ECE" w:rsidP="000D4E29">
      <w:pPr>
        <w:spacing w:before="240" w:after="0" w:line="320" w:lineRule="atLeast"/>
        <w:jc w:val="both"/>
        <w:rPr>
          <w:sz w:val="24"/>
          <w:szCs w:val="24"/>
        </w:rPr>
      </w:pPr>
      <w:r w:rsidRPr="000D4E29">
        <w:rPr>
          <w:sz w:val="24"/>
          <w:szCs w:val="24"/>
        </w:rPr>
        <w:t>Excelência,</w:t>
      </w:r>
    </w:p>
    <w:p w:rsidR="00C67ECE" w:rsidRPr="000D4E29" w:rsidRDefault="00C67ECE" w:rsidP="000D4E29">
      <w:pPr>
        <w:spacing w:before="240" w:after="0" w:line="320" w:lineRule="atLeast"/>
        <w:jc w:val="both"/>
        <w:rPr>
          <w:sz w:val="24"/>
          <w:szCs w:val="24"/>
        </w:rPr>
      </w:pPr>
    </w:p>
    <w:p w:rsidR="00C67ECE" w:rsidRPr="000D4E29" w:rsidRDefault="00C67ECE" w:rsidP="000D4E29">
      <w:pPr>
        <w:spacing w:before="240" w:after="0" w:line="320" w:lineRule="atLeast"/>
        <w:jc w:val="both"/>
        <w:rPr>
          <w:sz w:val="24"/>
          <w:szCs w:val="24"/>
        </w:rPr>
      </w:pPr>
      <w:r w:rsidRPr="000D4E29">
        <w:rPr>
          <w:sz w:val="24"/>
          <w:szCs w:val="24"/>
        </w:rPr>
        <w:t>N</w:t>
      </w:r>
      <w:r w:rsidR="00996FC6">
        <w:rPr>
          <w:sz w:val="24"/>
          <w:szCs w:val="24"/>
        </w:rPr>
        <w:t>um</w:t>
      </w:r>
      <w:r w:rsidRPr="000D4E29">
        <w:rPr>
          <w:sz w:val="24"/>
          <w:szCs w:val="24"/>
        </w:rPr>
        <w:t>a carta que o Presidente do INFARMED enviou a</w:t>
      </w:r>
      <w:r w:rsidR="0061196A" w:rsidRPr="000D4E29">
        <w:rPr>
          <w:sz w:val="24"/>
          <w:szCs w:val="24"/>
        </w:rPr>
        <w:t>o antecessor de</w:t>
      </w:r>
      <w:r w:rsidRPr="000D4E29">
        <w:rPr>
          <w:sz w:val="24"/>
          <w:szCs w:val="24"/>
        </w:rPr>
        <w:t xml:space="preserve"> V. Exa.</w:t>
      </w:r>
      <w:r w:rsidR="00996FC6">
        <w:rPr>
          <w:sz w:val="24"/>
          <w:szCs w:val="24"/>
        </w:rPr>
        <w:t>,</w:t>
      </w:r>
      <w:r w:rsidRPr="000D4E29">
        <w:rPr>
          <w:sz w:val="24"/>
          <w:szCs w:val="24"/>
        </w:rPr>
        <w:t xml:space="preserve"> sobre o assunto em epígrafe, datada de 21 de Fevereiro de 2011</w:t>
      </w:r>
      <w:r w:rsidR="00996FC6" w:rsidRPr="000D4E29">
        <w:rPr>
          <w:sz w:val="24"/>
          <w:szCs w:val="24"/>
        </w:rPr>
        <w:t xml:space="preserve">, </w:t>
      </w:r>
      <w:r w:rsidR="00B022AC">
        <w:rPr>
          <w:sz w:val="24"/>
          <w:szCs w:val="24"/>
        </w:rPr>
        <w:t>que anexamos,</w:t>
      </w:r>
      <w:r w:rsidRPr="000D4E29">
        <w:rPr>
          <w:sz w:val="24"/>
          <w:szCs w:val="24"/>
        </w:rPr>
        <w:t xml:space="preserve"> são tecidas algumas considerações completamente </w:t>
      </w:r>
      <w:r w:rsidR="00B72CCA" w:rsidRPr="000D4E29">
        <w:rPr>
          <w:sz w:val="24"/>
          <w:szCs w:val="24"/>
        </w:rPr>
        <w:t>equívocas</w:t>
      </w:r>
      <w:r w:rsidRPr="000D4E29">
        <w:rPr>
          <w:sz w:val="24"/>
          <w:szCs w:val="24"/>
        </w:rPr>
        <w:t xml:space="preserve"> sobre questões técnico-científicas relacionadas com os medicamentos genéricos e</w:t>
      </w:r>
      <w:r w:rsidR="0084355E" w:rsidRPr="000D4E29">
        <w:rPr>
          <w:sz w:val="24"/>
          <w:szCs w:val="24"/>
        </w:rPr>
        <w:t xml:space="preserve"> estranhamente questionada a</w:t>
      </w:r>
      <w:r w:rsidR="00996FC6">
        <w:rPr>
          <w:sz w:val="24"/>
          <w:szCs w:val="24"/>
        </w:rPr>
        <w:t xml:space="preserve"> fundamentação científica dos princípios que a</w:t>
      </w:r>
      <w:r w:rsidRPr="000D4E29">
        <w:rPr>
          <w:sz w:val="24"/>
          <w:szCs w:val="24"/>
        </w:rPr>
        <w:t xml:space="preserve"> Ordem dos Médicos</w:t>
      </w:r>
      <w:r w:rsidR="00996FC6">
        <w:rPr>
          <w:sz w:val="24"/>
          <w:szCs w:val="24"/>
        </w:rPr>
        <w:t xml:space="preserve"> defendeu nessa audição parlamentar na Comissão de Saúde, que teve lugar a 16 de Fevereiro de 2011</w:t>
      </w:r>
      <w:r w:rsidRPr="000D4E29">
        <w:rPr>
          <w:sz w:val="24"/>
          <w:szCs w:val="24"/>
        </w:rPr>
        <w:t>.</w:t>
      </w:r>
      <w:r w:rsidR="00B022AC">
        <w:rPr>
          <w:sz w:val="24"/>
          <w:szCs w:val="24"/>
        </w:rPr>
        <w:t xml:space="preserve"> N</w:t>
      </w:r>
      <w:r w:rsidR="00B022AC" w:rsidRPr="000D4E29">
        <w:rPr>
          <w:sz w:val="24"/>
          <w:szCs w:val="24"/>
        </w:rPr>
        <w:t>ão podemos deixar de corrigir e comentar</w:t>
      </w:r>
      <w:r w:rsidR="00B022AC">
        <w:rPr>
          <w:sz w:val="24"/>
          <w:szCs w:val="24"/>
        </w:rPr>
        <w:t xml:space="preserve"> o conteúdo desta carta.</w:t>
      </w:r>
    </w:p>
    <w:p w:rsidR="00996FC6" w:rsidRDefault="00996FC6" w:rsidP="00996FC6">
      <w:pPr>
        <w:spacing w:before="240" w:after="0" w:line="320" w:lineRule="atLeast"/>
        <w:jc w:val="both"/>
        <w:rPr>
          <w:sz w:val="24"/>
          <w:szCs w:val="24"/>
        </w:rPr>
      </w:pPr>
      <w:r>
        <w:rPr>
          <w:sz w:val="24"/>
          <w:szCs w:val="24"/>
        </w:rPr>
        <w:t>A</w:t>
      </w:r>
      <w:r w:rsidRPr="000D4E29">
        <w:rPr>
          <w:sz w:val="24"/>
          <w:szCs w:val="24"/>
        </w:rPr>
        <w:t xml:space="preserve">ntes de </w:t>
      </w:r>
      <w:r>
        <w:rPr>
          <w:sz w:val="24"/>
          <w:szCs w:val="24"/>
        </w:rPr>
        <w:t>tudo o mais</w:t>
      </w:r>
      <w:r w:rsidRPr="000D4E29">
        <w:rPr>
          <w:sz w:val="24"/>
          <w:szCs w:val="24"/>
        </w:rPr>
        <w:t xml:space="preserve"> prete</w:t>
      </w:r>
      <w:r>
        <w:rPr>
          <w:sz w:val="24"/>
          <w:szCs w:val="24"/>
        </w:rPr>
        <w:t>ndemos reafirmar a totalidade do</w:t>
      </w:r>
      <w:r w:rsidRPr="000D4E29">
        <w:rPr>
          <w:sz w:val="24"/>
          <w:szCs w:val="24"/>
        </w:rPr>
        <w:t xml:space="preserve"> documento que então entregámos à Comissão de Saúde,</w:t>
      </w:r>
      <w:r>
        <w:rPr>
          <w:sz w:val="24"/>
          <w:szCs w:val="24"/>
        </w:rPr>
        <w:t xml:space="preserve"> cuja substância</w:t>
      </w:r>
      <w:r w:rsidRPr="000D4E29">
        <w:rPr>
          <w:sz w:val="24"/>
          <w:szCs w:val="24"/>
        </w:rPr>
        <w:t xml:space="preserve"> reiteramos na íntegra</w:t>
      </w:r>
      <w:r>
        <w:rPr>
          <w:sz w:val="24"/>
          <w:szCs w:val="24"/>
        </w:rPr>
        <w:t xml:space="preserve"> e que completa as posições que aqui sustentamos, pelo que o reenviamos em anexo e recomendamos a sua leitura</w:t>
      </w:r>
      <w:r w:rsidRPr="000D4E29">
        <w:rPr>
          <w:sz w:val="24"/>
          <w:szCs w:val="24"/>
        </w:rPr>
        <w:t>.</w:t>
      </w:r>
      <w:r w:rsidR="00614EA2">
        <w:rPr>
          <w:sz w:val="24"/>
          <w:szCs w:val="24"/>
        </w:rPr>
        <w:t xml:space="preserve"> Nele são feitas propostas para reduzir o custo com os medicamentos</w:t>
      </w:r>
      <w:r w:rsidR="004528CF">
        <w:rPr>
          <w:sz w:val="24"/>
          <w:szCs w:val="24"/>
        </w:rPr>
        <w:t>, em que insistimos</w:t>
      </w:r>
      <w:r w:rsidR="00614EA2">
        <w:rPr>
          <w:sz w:val="24"/>
          <w:szCs w:val="24"/>
        </w:rPr>
        <w:t>.</w:t>
      </w:r>
    </w:p>
    <w:p w:rsidR="00335E22" w:rsidRDefault="00CA2BD6" w:rsidP="000D4E29">
      <w:pPr>
        <w:spacing w:before="240" w:after="0" w:line="320" w:lineRule="atLeast"/>
        <w:jc w:val="both"/>
        <w:rPr>
          <w:sz w:val="24"/>
          <w:szCs w:val="24"/>
        </w:rPr>
      </w:pPr>
      <w:r>
        <w:rPr>
          <w:sz w:val="24"/>
          <w:szCs w:val="24"/>
        </w:rPr>
        <w:t>Ao longo do presente</w:t>
      </w:r>
      <w:r w:rsidR="00335E22">
        <w:rPr>
          <w:sz w:val="24"/>
          <w:szCs w:val="24"/>
        </w:rPr>
        <w:t xml:space="preserve"> documento</w:t>
      </w:r>
      <w:r w:rsidR="00827997">
        <w:rPr>
          <w:sz w:val="24"/>
          <w:szCs w:val="24"/>
        </w:rPr>
        <w:t xml:space="preserve">, que solicitamos que seja </w:t>
      </w:r>
      <w:r w:rsidR="00B022AC">
        <w:rPr>
          <w:sz w:val="24"/>
          <w:szCs w:val="24"/>
        </w:rPr>
        <w:t xml:space="preserve">formalmente </w:t>
      </w:r>
      <w:r w:rsidR="00827997">
        <w:rPr>
          <w:sz w:val="24"/>
          <w:szCs w:val="24"/>
        </w:rPr>
        <w:t>distribuído a todos os Senhores Deputados da Comissão de Saúde,</w:t>
      </w:r>
      <w:r w:rsidR="00335E22">
        <w:rPr>
          <w:sz w:val="24"/>
          <w:szCs w:val="24"/>
        </w:rPr>
        <w:t xml:space="preserve"> demonstraremos e reforçaremos </w:t>
      </w:r>
      <w:proofErr w:type="gramStart"/>
      <w:r w:rsidR="00335E22">
        <w:rPr>
          <w:sz w:val="24"/>
          <w:szCs w:val="24"/>
        </w:rPr>
        <w:t>que</w:t>
      </w:r>
      <w:proofErr w:type="gramEnd"/>
      <w:r w:rsidR="00335E22">
        <w:rPr>
          <w:sz w:val="24"/>
          <w:szCs w:val="24"/>
        </w:rPr>
        <w:t>:</w:t>
      </w:r>
    </w:p>
    <w:p w:rsidR="00335E22" w:rsidRPr="00CA2BD6" w:rsidRDefault="00335E22" w:rsidP="000D4E29">
      <w:pPr>
        <w:spacing w:before="240" w:after="0" w:line="320" w:lineRule="atLeast"/>
        <w:jc w:val="both"/>
        <w:rPr>
          <w:i/>
          <w:sz w:val="24"/>
          <w:szCs w:val="24"/>
        </w:rPr>
      </w:pPr>
      <w:r w:rsidRPr="00CA2BD6">
        <w:rPr>
          <w:i/>
          <w:sz w:val="24"/>
          <w:szCs w:val="24"/>
        </w:rPr>
        <w:t xml:space="preserve">- O INFARMED não tem razão em </w:t>
      </w:r>
      <w:r w:rsidR="005479E5" w:rsidRPr="00CA2BD6">
        <w:rPr>
          <w:i/>
          <w:sz w:val="24"/>
          <w:szCs w:val="24"/>
        </w:rPr>
        <w:t>qualquer</w:t>
      </w:r>
      <w:r w:rsidRPr="00CA2BD6">
        <w:rPr>
          <w:i/>
          <w:sz w:val="24"/>
          <w:szCs w:val="24"/>
        </w:rPr>
        <w:t xml:space="preserve"> das alegações da sua carta.</w:t>
      </w:r>
    </w:p>
    <w:p w:rsidR="00335E22" w:rsidRPr="00CA2BD6" w:rsidRDefault="00335E22" w:rsidP="000D4E29">
      <w:pPr>
        <w:spacing w:before="240" w:after="0" w:line="320" w:lineRule="atLeast"/>
        <w:jc w:val="both"/>
        <w:rPr>
          <w:i/>
          <w:sz w:val="24"/>
          <w:szCs w:val="24"/>
        </w:rPr>
      </w:pPr>
      <w:r w:rsidRPr="00CA2BD6">
        <w:rPr>
          <w:i/>
          <w:sz w:val="24"/>
          <w:szCs w:val="24"/>
        </w:rPr>
        <w:lastRenderedPageBreak/>
        <w:t xml:space="preserve">- Há marcas de </w:t>
      </w:r>
      <w:proofErr w:type="gramStart"/>
      <w:r w:rsidRPr="00CA2BD6">
        <w:rPr>
          <w:i/>
          <w:sz w:val="24"/>
          <w:szCs w:val="24"/>
        </w:rPr>
        <w:t>genéricos que não são bioequivalentes</w:t>
      </w:r>
      <w:proofErr w:type="gramEnd"/>
      <w:r w:rsidRPr="00CA2BD6">
        <w:rPr>
          <w:i/>
          <w:sz w:val="24"/>
          <w:szCs w:val="24"/>
        </w:rPr>
        <w:t xml:space="preserve"> a outras marcas do mesmo medicamento genérico, pelo que não podem </w:t>
      </w:r>
      <w:proofErr w:type="spellStart"/>
      <w:r w:rsidRPr="00CA2BD6">
        <w:rPr>
          <w:i/>
          <w:sz w:val="24"/>
          <w:szCs w:val="24"/>
        </w:rPr>
        <w:t>intersubstituir-se</w:t>
      </w:r>
      <w:proofErr w:type="spellEnd"/>
      <w:r w:rsidRPr="00CA2BD6">
        <w:rPr>
          <w:i/>
          <w:sz w:val="24"/>
          <w:szCs w:val="24"/>
        </w:rPr>
        <w:t>.</w:t>
      </w:r>
    </w:p>
    <w:p w:rsidR="003173F1" w:rsidRPr="00CA2BD6" w:rsidRDefault="003173F1" w:rsidP="003173F1">
      <w:pPr>
        <w:spacing w:before="240" w:after="0" w:line="320" w:lineRule="atLeast"/>
        <w:jc w:val="both"/>
        <w:rPr>
          <w:i/>
          <w:sz w:val="24"/>
          <w:szCs w:val="24"/>
        </w:rPr>
      </w:pPr>
      <w:r>
        <w:rPr>
          <w:i/>
          <w:sz w:val="24"/>
          <w:szCs w:val="24"/>
        </w:rPr>
        <w:t xml:space="preserve">- As </w:t>
      </w:r>
      <w:proofErr w:type="spellStart"/>
      <w:r>
        <w:rPr>
          <w:i/>
          <w:sz w:val="24"/>
          <w:szCs w:val="24"/>
        </w:rPr>
        <w:t>guidelines</w:t>
      </w:r>
      <w:proofErr w:type="spellEnd"/>
      <w:r>
        <w:rPr>
          <w:i/>
          <w:sz w:val="24"/>
          <w:szCs w:val="24"/>
        </w:rPr>
        <w:t xml:space="preserve"> internacionais </w:t>
      </w:r>
      <w:r w:rsidRPr="00CA2BD6">
        <w:rPr>
          <w:i/>
          <w:sz w:val="24"/>
          <w:szCs w:val="24"/>
        </w:rPr>
        <w:t>permite</w:t>
      </w:r>
      <w:r>
        <w:rPr>
          <w:i/>
          <w:sz w:val="24"/>
          <w:szCs w:val="24"/>
        </w:rPr>
        <w:t>m</w:t>
      </w:r>
      <w:r w:rsidRPr="00CA2BD6">
        <w:rPr>
          <w:i/>
          <w:sz w:val="24"/>
          <w:szCs w:val="24"/>
        </w:rPr>
        <w:t xml:space="preserve"> a aprovação de um genérico que origine uma diferença superior a 20% nas concentrações plasmáticas médias </w:t>
      </w:r>
      <w:r>
        <w:rPr>
          <w:i/>
          <w:sz w:val="24"/>
          <w:szCs w:val="24"/>
        </w:rPr>
        <w:t xml:space="preserve">comparativamente com </w:t>
      </w:r>
      <w:r w:rsidRPr="00CA2BD6">
        <w:rPr>
          <w:i/>
          <w:sz w:val="24"/>
          <w:szCs w:val="24"/>
        </w:rPr>
        <w:t>o medicamento de marca.</w:t>
      </w:r>
    </w:p>
    <w:p w:rsidR="005479E5" w:rsidRPr="00CA2BD6" w:rsidRDefault="005479E5" w:rsidP="000D4E29">
      <w:pPr>
        <w:spacing w:before="240" w:after="0" w:line="320" w:lineRule="atLeast"/>
        <w:jc w:val="both"/>
        <w:rPr>
          <w:i/>
          <w:sz w:val="24"/>
          <w:szCs w:val="24"/>
        </w:rPr>
      </w:pPr>
      <w:r w:rsidRPr="00CA2BD6">
        <w:rPr>
          <w:i/>
          <w:sz w:val="24"/>
          <w:szCs w:val="24"/>
        </w:rPr>
        <w:t xml:space="preserve">- </w:t>
      </w:r>
      <w:r w:rsidR="003173F1">
        <w:rPr>
          <w:i/>
          <w:sz w:val="24"/>
          <w:szCs w:val="24"/>
        </w:rPr>
        <w:t xml:space="preserve">O conceito de </w:t>
      </w:r>
      <w:proofErr w:type="spellStart"/>
      <w:r w:rsidRPr="00CA2BD6">
        <w:rPr>
          <w:i/>
          <w:sz w:val="24"/>
          <w:szCs w:val="24"/>
        </w:rPr>
        <w:t>Biodispon</w:t>
      </w:r>
      <w:r w:rsidR="003173F1">
        <w:rPr>
          <w:i/>
          <w:sz w:val="24"/>
          <w:szCs w:val="24"/>
        </w:rPr>
        <w:t>ibilidade</w:t>
      </w:r>
      <w:proofErr w:type="spellEnd"/>
      <w:r w:rsidR="003173F1">
        <w:rPr>
          <w:i/>
          <w:sz w:val="24"/>
          <w:szCs w:val="24"/>
        </w:rPr>
        <w:t xml:space="preserve"> nem sempre corresponde a </w:t>
      </w:r>
      <w:proofErr w:type="spellStart"/>
      <w:r w:rsidR="003173F1">
        <w:rPr>
          <w:i/>
          <w:sz w:val="24"/>
          <w:szCs w:val="24"/>
        </w:rPr>
        <w:t>B</w:t>
      </w:r>
      <w:r w:rsidRPr="00CA2BD6">
        <w:rPr>
          <w:i/>
          <w:sz w:val="24"/>
          <w:szCs w:val="24"/>
        </w:rPr>
        <w:t>ioequivalência</w:t>
      </w:r>
      <w:proofErr w:type="spellEnd"/>
      <w:r w:rsidRPr="00CA2BD6">
        <w:rPr>
          <w:i/>
          <w:sz w:val="24"/>
          <w:szCs w:val="24"/>
        </w:rPr>
        <w:t>.</w:t>
      </w:r>
    </w:p>
    <w:p w:rsidR="005479E5" w:rsidRPr="00CA2BD6" w:rsidRDefault="005479E5" w:rsidP="000D4E29">
      <w:pPr>
        <w:spacing w:before="240" w:after="0" w:line="320" w:lineRule="atLeast"/>
        <w:jc w:val="both"/>
        <w:rPr>
          <w:i/>
          <w:sz w:val="24"/>
          <w:szCs w:val="24"/>
          <w:lang w:val="en-US"/>
        </w:rPr>
      </w:pPr>
      <w:r w:rsidRPr="00CA2BD6">
        <w:rPr>
          <w:i/>
          <w:sz w:val="24"/>
          <w:szCs w:val="24"/>
          <w:lang w:val="en-US"/>
        </w:rPr>
        <w:t xml:space="preserve">- As </w:t>
      </w:r>
      <w:proofErr w:type="spellStart"/>
      <w:r w:rsidRPr="00CA2BD6">
        <w:rPr>
          <w:i/>
          <w:sz w:val="24"/>
          <w:szCs w:val="24"/>
          <w:lang w:val="en-US"/>
        </w:rPr>
        <w:t>conclusões</w:t>
      </w:r>
      <w:proofErr w:type="spellEnd"/>
      <w:r w:rsidRPr="00CA2BD6">
        <w:rPr>
          <w:i/>
          <w:sz w:val="24"/>
          <w:szCs w:val="24"/>
          <w:lang w:val="en-US"/>
        </w:rPr>
        <w:t xml:space="preserve"> do </w:t>
      </w:r>
      <w:proofErr w:type="spellStart"/>
      <w:r w:rsidRPr="00CA2BD6">
        <w:rPr>
          <w:i/>
          <w:sz w:val="24"/>
          <w:szCs w:val="24"/>
          <w:lang w:val="en-US"/>
        </w:rPr>
        <w:t>artigo</w:t>
      </w:r>
      <w:proofErr w:type="spellEnd"/>
      <w:r w:rsidRPr="00CA2BD6">
        <w:rPr>
          <w:i/>
          <w:sz w:val="24"/>
          <w:szCs w:val="24"/>
          <w:lang w:val="en-US"/>
        </w:rPr>
        <w:t xml:space="preserve"> “</w:t>
      </w:r>
      <w:r w:rsidRPr="00CA2BD6">
        <w:rPr>
          <w:rFonts w:cs="GillSans-Bold"/>
          <w:bCs/>
          <w:i/>
          <w:sz w:val="24"/>
          <w:szCs w:val="24"/>
          <w:lang w:val="en-US"/>
        </w:rPr>
        <w:t>Comparing Generic and Innovator Drugs: A Review of 12 Years of Bioequivalence Data from the United States Food and Drug Administration</w:t>
      </w:r>
      <w:r w:rsidRPr="00CA2BD6">
        <w:rPr>
          <w:i/>
          <w:sz w:val="24"/>
          <w:szCs w:val="24"/>
          <w:lang w:val="en-US"/>
        </w:rPr>
        <w:t xml:space="preserve">” </w:t>
      </w:r>
      <w:proofErr w:type="spellStart"/>
      <w:r w:rsidRPr="00CA2BD6">
        <w:rPr>
          <w:i/>
          <w:sz w:val="24"/>
          <w:szCs w:val="24"/>
          <w:lang w:val="en-US"/>
        </w:rPr>
        <w:t>são</w:t>
      </w:r>
      <w:proofErr w:type="spellEnd"/>
      <w:r w:rsidRPr="00CA2BD6">
        <w:rPr>
          <w:i/>
          <w:sz w:val="24"/>
          <w:szCs w:val="24"/>
          <w:lang w:val="en-US"/>
        </w:rPr>
        <w:t xml:space="preserve"> </w:t>
      </w:r>
      <w:proofErr w:type="spellStart"/>
      <w:r w:rsidRPr="00CA2BD6">
        <w:rPr>
          <w:i/>
          <w:sz w:val="24"/>
          <w:szCs w:val="24"/>
          <w:lang w:val="en-US"/>
        </w:rPr>
        <w:t>uma</w:t>
      </w:r>
      <w:proofErr w:type="spellEnd"/>
      <w:r w:rsidRPr="00CA2BD6">
        <w:rPr>
          <w:i/>
          <w:sz w:val="24"/>
          <w:szCs w:val="24"/>
          <w:lang w:val="en-US"/>
        </w:rPr>
        <w:t xml:space="preserve"> </w:t>
      </w:r>
      <w:proofErr w:type="spellStart"/>
      <w:r w:rsidRPr="00CA2BD6">
        <w:rPr>
          <w:i/>
          <w:sz w:val="24"/>
          <w:szCs w:val="24"/>
          <w:lang w:val="en-US"/>
        </w:rPr>
        <w:t>farsa</w:t>
      </w:r>
      <w:proofErr w:type="spellEnd"/>
      <w:r w:rsidRPr="00CA2BD6">
        <w:rPr>
          <w:i/>
          <w:sz w:val="24"/>
          <w:szCs w:val="24"/>
          <w:lang w:val="en-US"/>
        </w:rPr>
        <w:t>.</w:t>
      </w:r>
    </w:p>
    <w:p w:rsidR="003173F1" w:rsidRPr="00CA2BD6" w:rsidRDefault="005479E5" w:rsidP="000D4E29">
      <w:pPr>
        <w:spacing w:before="240" w:after="0" w:line="320" w:lineRule="atLeast"/>
        <w:jc w:val="both"/>
        <w:rPr>
          <w:i/>
          <w:sz w:val="24"/>
          <w:szCs w:val="24"/>
        </w:rPr>
      </w:pPr>
      <w:r w:rsidRPr="00CA2BD6">
        <w:rPr>
          <w:i/>
          <w:sz w:val="24"/>
          <w:szCs w:val="24"/>
        </w:rPr>
        <w:t xml:space="preserve">- </w:t>
      </w:r>
      <w:r w:rsidR="00BE7A3A" w:rsidRPr="00CA2BD6">
        <w:rPr>
          <w:i/>
          <w:sz w:val="24"/>
          <w:szCs w:val="24"/>
        </w:rPr>
        <w:t xml:space="preserve">Há consequências negativas para os doentes, relativamente à substituição de genéricos, </w:t>
      </w:r>
      <w:r w:rsidR="001C2ED8">
        <w:rPr>
          <w:i/>
          <w:sz w:val="24"/>
          <w:szCs w:val="24"/>
        </w:rPr>
        <w:t>publicadas na literatura médica</w:t>
      </w:r>
      <w:r w:rsidR="003173F1">
        <w:rPr>
          <w:i/>
          <w:sz w:val="24"/>
          <w:szCs w:val="24"/>
        </w:rPr>
        <w:t>, conforme artigo</w:t>
      </w:r>
      <w:r w:rsidR="001C2ED8">
        <w:rPr>
          <w:i/>
          <w:sz w:val="24"/>
          <w:szCs w:val="24"/>
        </w:rPr>
        <w:t>s</w:t>
      </w:r>
      <w:r w:rsidR="003173F1">
        <w:rPr>
          <w:i/>
          <w:sz w:val="24"/>
          <w:szCs w:val="24"/>
        </w:rPr>
        <w:t xml:space="preserve"> citado</w:t>
      </w:r>
      <w:r w:rsidR="001C2ED8">
        <w:rPr>
          <w:i/>
          <w:sz w:val="24"/>
          <w:szCs w:val="24"/>
        </w:rPr>
        <w:t>s</w:t>
      </w:r>
      <w:r w:rsidR="003173F1">
        <w:rPr>
          <w:i/>
          <w:sz w:val="24"/>
          <w:szCs w:val="24"/>
        </w:rPr>
        <w:t xml:space="preserve"> neste documento.</w:t>
      </w:r>
    </w:p>
    <w:p w:rsidR="000A3B72" w:rsidRPr="00CA2BD6" w:rsidRDefault="000A3B72" w:rsidP="000D4E29">
      <w:pPr>
        <w:spacing w:before="240" w:after="0" w:line="320" w:lineRule="atLeast"/>
        <w:jc w:val="both"/>
        <w:rPr>
          <w:rFonts w:cs="Arial"/>
          <w:i/>
          <w:sz w:val="24"/>
          <w:szCs w:val="24"/>
        </w:rPr>
      </w:pPr>
      <w:r w:rsidRPr="00CA2BD6">
        <w:rPr>
          <w:i/>
          <w:sz w:val="24"/>
          <w:szCs w:val="24"/>
        </w:rPr>
        <w:t xml:space="preserve">- </w:t>
      </w:r>
      <w:r w:rsidRPr="00CA2BD6">
        <w:rPr>
          <w:rFonts w:cs="Arial"/>
          <w:i/>
          <w:sz w:val="24"/>
          <w:szCs w:val="24"/>
        </w:rPr>
        <w:t>Um dos principais problemas da sucessiva substituição de genéricos por genéricos é a inevitável perturbação nos doentes mais idosos e nos menos letrados.</w:t>
      </w:r>
    </w:p>
    <w:p w:rsidR="000A3B72" w:rsidRPr="00CA2BD6" w:rsidRDefault="000A3B72" w:rsidP="000D4E29">
      <w:pPr>
        <w:spacing w:before="240" w:after="0" w:line="320" w:lineRule="atLeast"/>
        <w:jc w:val="both"/>
        <w:rPr>
          <w:rFonts w:cs="Arial"/>
          <w:i/>
          <w:sz w:val="24"/>
          <w:szCs w:val="24"/>
        </w:rPr>
      </w:pPr>
      <w:r w:rsidRPr="00CA2BD6">
        <w:rPr>
          <w:rFonts w:cs="Arial"/>
          <w:i/>
          <w:sz w:val="24"/>
          <w:szCs w:val="24"/>
        </w:rPr>
        <w:t>- A substituição de medicamentos genéricos por genéricos não</w:t>
      </w:r>
      <w:r w:rsidRPr="00CA2BD6">
        <w:rPr>
          <w:i/>
          <w:sz w:val="24"/>
          <w:szCs w:val="24"/>
        </w:rPr>
        <w:t xml:space="preserve"> </w:t>
      </w:r>
      <w:r w:rsidRPr="00CA2BD6">
        <w:rPr>
          <w:rFonts w:cs="Arial"/>
          <w:i/>
          <w:sz w:val="24"/>
          <w:szCs w:val="24"/>
        </w:rPr>
        <w:t>aumenta a sua quota.</w:t>
      </w:r>
    </w:p>
    <w:p w:rsidR="00614EA2" w:rsidRPr="00CA2BD6" w:rsidRDefault="00614EA2" w:rsidP="00614EA2">
      <w:pPr>
        <w:spacing w:before="240" w:after="0" w:line="320" w:lineRule="atLeast"/>
        <w:jc w:val="both"/>
        <w:rPr>
          <w:i/>
          <w:sz w:val="24"/>
          <w:szCs w:val="24"/>
        </w:rPr>
      </w:pPr>
      <w:r w:rsidRPr="00CA2BD6">
        <w:rPr>
          <w:i/>
          <w:sz w:val="24"/>
          <w:szCs w:val="24"/>
        </w:rPr>
        <w:t>- Razões inerentes aos doentes impedem que a taxa de penetração das marcas de genéricos atinja 100% das vendas do correspondente princípio activo.</w:t>
      </w:r>
    </w:p>
    <w:p w:rsidR="000A3B72" w:rsidRPr="00AA417A" w:rsidRDefault="000A3B72" w:rsidP="000D4E29">
      <w:pPr>
        <w:spacing w:before="240" w:after="0" w:line="320" w:lineRule="atLeast"/>
        <w:jc w:val="both"/>
        <w:rPr>
          <w:rFonts w:cs="Arial"/>
          <w:i/>
          <w:sz w:val="24"/>
          <w:szCs w:val="24"/>
        </w:rPr>
      </w:pPr>
      <w:r w:rsidRPr="00CA2BD6">
        <w:rPr>
          <w:rFonts w:cs="Arial"/>
          <w:i/>
          <w:sz w:val="24"/>
          <w:szCs w:val="24"/>
        </w:rPr>
        <w:t>-</w:t>
      </w:r>
      <w:r w:rsidR="00CA2BD6" w:rsidRPr="00CA2BD6">
        <w:rPr>
          <w:rFonts w:cs="Arial"/>
          <w:i/>
          <w:sz w:val="24"/>
          <w:szCs w:val="24"/>
        </w:rPr>
        <w:t xml:space="preserve"> P</w:t>
      </w:r>
      <w:r w:rsidRPr="00CA2BD6">
        <w:rPr>
          <w:rFonts w:cs="Arial"/>
          <w:i/>
          <w:sz w:val="24"/>
          <w:szCs w:val="24"/>
        </w:rPr>
        <w:t>ara evitar a substituição constante de marcas de genéricos, o médico pode optar por um med</w:t>
      </w:r>
      <w:r w:rsidRPr="00AA417A">
        <w:rPr>
          <w:rFonts w:cs="Arial"/>
          <w:i/>
          <w:sz w:val="24"/>
          <w:szCs w:val="24"/>
        </w:rPr>
        <w:t xml:space="preserve">icamento </w:t>
      </w:r>
      <w:r w:rsidR="00CA2BD6" w:rsidRPr="00AA417A">
        <w:rPr>
          <w:rFonts w:cs="Arial"/>
          <w:i/>
          <w:sz w:val="24"/>
          <w:szCs w:val="24"/>
        </w:rPr>
        <w:t xml:space="preserve">do mesmo grupo terapêutico mas </w:t>
      </w:r>
      <w:r w:rsidRPr="00AA417A">
        <w:rPr>
          <w:rFonts w:cs="Arial"/>
          <w:i/>
          <w:sz w:val="24"/>
          <w:szCs w:val="24"/>
        </w:rPr>
        <w:t>ainda protegido por patente</w:t>
      </w:r>
      <w:r w:rsidR="00CA2BD6" w:rsidRPr="00AA417A">
        <w:rPr>
          <w:rFonts w:cs="Arial"/>
          <w:i/>
          <w:sz w:val="24"/>
          <w:szCs w:val="24"/>
        </w:rPr>
        <w:t>.</w:t>
      </w:r>
    </w:p>
    <w:p w:rsidR="00AA417A" w:rsidRPr="00AA417A" w:rsidRDefault="00AA417A" w:rsidP="000D4E29">
      <w:pPr>
        <w:spacing w:before="240" w:after="0" w:line="320" w:lineRule="atLeast"/>
        <w:jc w:val="both"/>
        <w:rPr>
          <w:rFonts w:eastAsia="Times New Roman"/>
          <w:i/>
        </w:rPr>
      </w:pPr>
      <w:r w:rsidRPr="00AA417A">
        <w:rPr>
          <w:rFonts w:cs="Arial"/>
          <w:i/>
          <w:sz w:val="24"/>
          <w:szCs w:val="24"/>
        </w:rPr>
        <w:t xml:space="preserve">- </w:t>
      </w:r>
      <w:r w:rsidRPr="00AA417A">
        <w:rPr>
          <w:rFonts w:eastAsia="Times New Roman"/>
          <w:i/>
        </w:rPr>
        <w:t xml:space="preserve">Os Médicos estão de acordo com a legislação em vigor e são favoráveis à prescrição de Genéricos, somente não podem aceitar, </w:t>
      </w:r>
      <w:r w:rsidR="00614EA2">
        <w:rPr>
          <w:rFonts w:eastAsia="Times New Roman"/>
          <w:i/>
        </w:rPr>
        <w:t xml:space="preserve">porque prejudicial aos doentes, </w:t>
      </w:r>
      <w:r w:rsidRPr="00AA417A">
        <w:rPr>
          <w:rFonts w:eastAsia="Times New Roman"/>
          <w:i/>
        </w:rPr>
        <w:t>princípio alicerçado no suporte científico publicado, uma substituição de genéricos entre si, tendo como único pressuposto interesses comerciais do circuito de medicamento.</w:t>
      </w:r>
    </w:p>
    <w:p w:rsidR="00AA417A" w:rsidRPr="00AA417A" w:rsidRDefault="00AA417A" w:rsidP="00AA417A">
      <w:pPr>
        <w:spacing w:before="240" w:after="0" w:line="320" w:lineRule="atLeast"/>
        <w:jc w:val="both"/>
        <w:rPr>
          <w:i/>
          <w:sz w:val="24"/>
          <w:szCs w:val="24"/>
        </w:rPr>
      </w:pPr>
      <w:r w:rsidRPr="00AA417A">
        <w:rPr>
          <w:i/>
          <w:sz w:val="24"/>
          <w:szCs w:val="24"/>
        </w:rPr>
        <w:t>- Portugal já tem uma das legislações de prescrição por DCI mais avançadas da Europa; o que está em causa nas propostas de quem procura alterar a legislação não é aumentar a quota da prescrição de genéricos, mas sim permitir a substituição de uma marca de um medicamento genérico por outra marca do mesmo medicamento genérico.</w:t>
      </w:r>
    </w:p>
    <w:p w:rsidR="00AA417A" w:rsidRPr="00AA417A" w:rsidRDefault="00AA417A" w:rsidP="000D4E29">
      <w:pPr>
        <w:spacing w:before="240" w:after="0" w:line="320" w:lineRule="atLeast"/>
        <w:jc w:val="both"/>
        <w:rPr>
          <w:rFonts w:cs="Arial"/>
          <w:i/>
          <w:sz w:val="24"/>
          <w:szCs w:val="24"/>
        </w:rPr>
      </w:pPr>
      <w:r w:rsidRPr="00AA417A">
        <w:rPr>
          <w:rFonts w:cs="Arial"/>
          <w:i/>
          <w:sz w:val="24"/>
          <w:szCs w:val="24"/>
        </w:rPr>
        <w:t>- A Troika não propôs a alteração da legislação de prescrição por DCI.</w:t>
      </w:r>
    </w:p>
    <w:p w:rsidR="005479E5" w:rsidRPr="00BE7A3A" w:rsidRDefault="005479E5" w:rsidP="000D4E29">
      <w:pPr>
        <w:spacing w:before="240" w:after="0" w:line="320" w:lineRule="atLeast"/>
        <w:jc w:val="both"/>
        <w:rPr>
          <w:sz w:val="24"/>
          <w:szCs w:val="24"/>
        </w:rPr>
      </w:pPr>
    </w:p>
    <w:p w:rsidR="00996FC6" w:rsidRDefault="00996FC6" w:rsidP="000D4E29">
      <w:pPr>
        <w:spacing w:before="240" w:after="0" w:line="320" w:lineRule="atLeast"/>
        <w:jc w:val="both"/>
        <w:rPr>
          <w:sz w:val="24"/>
          <w:szCs w:val="24"/>
        </w:rPr>
      </w:pPr>
      <w:r>
        <w:rPr>
          <w:sz w:val="24"/>
          <w:szCs w:val="24"/>
        </w:rPr>
        <w:t>Relativamente ao conteúdo da referida carta do INFARMED</w:t>
      </w:r>
      <w:r w:rsidR="0000299C">
        <w:rPr>
          <w:sz w:val="24"/>
          <w:szCs w:val="24"/>
        </w:rPr>
        <w:t>, em nome do rigor científico e da clarificação de algumas dúvidas, é nosso dever efectuar as apreciações que se seguem, a que acrescentamos mais algumas considerações sobre a problemática da prescrição por DCI</w:t>
      </w:r>
      <w:r>
        <w:rPr>
          <w:sz w:val="24"/>
          <w:szCs w:val="24"/>
        </w:rPr>
        <w:t>.</w:t>
      </w:r>
    </w:p>
    <w:p w:rsidR="00C67ECE" w:rsidRPr="000D4E29" w:rsidRDefault="00C67ECE" w:rsidP="000D4E29">
      <w:pPr>
        <w:spacing w:before="240" w:after="0" w:line="320" w:lineRule="atLeast"/>
        <w:jc w:val="both"/>
        <w:rPr>
          <w:sz w:val="24"/>
          <w:szCs w:val="24"/>
        </w:rPr>
      </w:pPr>
      <w:r w:rsidRPr="000D4E29">
        <w:rPr>
          <w:sz w:val="24"/>
          <w:szCs w:val="24"/>
        </w:rPr>
        <w:t xml:space="preserve">Sem dizer exactamente a que é que se refere, </w:t>
      </w:r>
      <w:r w:rsidR="004D7C3D" w:rsidRPr="000D4E29">
        <w:rPr>
          <w:sz w:val="24"/>
          <w:szCs w:val="24"/>
        </w:rPr>
        <w:t xml:space="preserve">pelo que não tem qualquer valor e se trata de uma afirmação que rejeitamos veementemente, o Presidente do INFARMED começa por </w:t>
      </w:r>
      <w:r w:rsidR="004D7C3D" w:rsidRPr="000D4E29">
        <w:rPr>
          <w:sz w:val="24"/>
          <w:szCs w:val="24"/>
        </w:rPr>
        <w:lastRenderedPageBreak/>
        <w:t>assegurar que a Ordem dos Médicos não teve em consideração a definição de medicamento genérico e que, em consequência, produziu informações erróneas.</w:t>
      </w:r>
    </w:p>
    <w:p w:rsidR="004D7C3D" w:rsidRPr="000D4E29" w:rsidRDefault="004D7C3D" w:rsidP="000D4E29">
      <w:pPr>
        <w:spacing w:before="240" w:after="0" w:line="320" w:lineRule="atLeast"/>
        <w:jc w:val="both"/>
        <w:rPr>
          <w:sz w:val="24"/>
          <w:szCs w:val="24"/>
        </w:rPr>
      </w:pPr>
      <w:r w:rsidRPr="000D4E29">
        <w:rPr>
          <w:sz w:val="24"/>
          <w:szCs w:val="24"/>
        </w:rPr>
        <w:t>Espanta-nos esta afirmação retórica, até porque o documento elaborado pela Ordem dos Médicos foi revisto e beneficiou da contribuição de</w:t>
      </w:r>
      <w:r w:rsidR="002236C9" w:rsidRPr="000D4E29">
        <w:rPr>
          <w:sz w:val="24"/>
          <w:szCs w:val="24"/>
        </w:rPr>
        <w:t xml:space="preserve"> inúmeros Colegas e de quatro Farmacologistas C</w:t>
      </w:r>
      <w:r w:rsidRPr="000D4E29">
        <w:rPr>
          <w:sz w:val="24"/>
          <w:szCs w:val="24"/>
        </w:rPr>
        <w:t>línicos.</w:t>
      </w:r>
    </w:p>
    <w:p w:rsidR="004D7C3D" w:rsidRPr="000D4E29" w:rsidRDefault="004D7C3D" w:rsidP="000D4E29">
      <w:pPr>
        <w:autoSpaceDE w:val="0"/>
        <w:autoSpaceDN w:val="0"/>
        <w:adjustRightInd w:val="0"/>
        <w:spacing w:before="240" w:after="0" w:line="320" w:lineRule="atLeast"/>
        <w:jc w:val="both"/>
        <w:rPr>
          <w:rFonts w:cs="Arial"/>
          <w:sz w:val="24"/>
          <w:szCs w:val="24"/>
        </w:rPr>
      </w:pPr>
      <w:r w:rsidRPr="000D4E29">
        <w:rPr>
          <w:sz w:val="24"/>
          <w:szCs w:val="24"/>
        </w:rPr>
        <w:t xml:space="preserve">Mais grave, porém, é o facto de se procurar transmitir a ideia de que a problemática actual se centra nuclearmente na questão da </w:t>
      </w:r>
      <w:proofErr w:type="spellStart"/>
      <w:r w:rsidRPr="000D4E29">
        <w:rPr>
          <w:sz w:val="24"/>
          <w:szCs w:val="24"/>
        </w:rPr>
        <w:t>biodisponibilidade</w:t>
      </w:r>
      <w:proofErr w:type="spellEnd"/>
      <w:r w:rsidRPr="000D4E29">
        <w:rPr>
          <w:sz w:val="24"/>
          <w:szCs w:val="24"/>
        </w:rPr>
        <w:t xml:space="preserve"> dos genéricos versus medicamento original, o que não é verdade. Esse é um dado relativamente pacífico, ainda assim apenas relativamente, e a actual legisla</w:t>
      </w:r>
      <w:r w:rsidR="00E64190" w:rsidRPr="000D4E29">
        <w:rPr>
          <w:sz w:val="24"/>
          <w:szCs w:val="24"/>
        </w:rPr>
        <w:t>ção já impõe</w:t>
      </w:r>
      <w:r w:rsidRPr="000D4E29">
        <w:rPr>
          <w:sz w:val="24"/>
          <w:szCs w:val="24"/>
        </w:rPr>
        <w:t xml:space="preserve"> a prescrição por DCI </w:t>
      </w:r>
      <w:r w:rsidR="0084355E" w:rsidRPr="000D4E29">
        <w:rPr>
          <w:sz w:val="24"/>
          <w:szCs w:val="24"/>
        </w:rPr>
        <w:t xml:space="preserve">desde 2002 </w:t>
      </w:r>
      <w:r w:rsidRPr="000D4E29">
        <w:rPr>
          <w:sz w:val="24"/>
          <w:szCs w:val="24"/>
        </w:rPr>
        <w:t>quando existem medicamentos genéricos</w:t>
      </w:r>
      <w:r w:rsidR="0084355E" w:rsidRPr="000D4E29">
        <w:rPr>
          <w:sz w:val="24"/>
          <w:szCs w:val="24"/>
        </w:rPr>
        <w:t xml:space="preserve"> do mesmo princípio activo (</w:t>
      </w:r>
      <w:r w:rsidR="0084355E" w:rsidRPr="000D4E29">
        <w:rPr>
          <w:rFonts w:cs="Arial"/>
          <w:sz w:val="24"/>
          <w:szCs w:val="24"/>
        </w:rPr>
        <w:t>Decreto-Lei n.º 271/2002, de 2 de Dezembro</w:t>
      </w:r>
      <w:r w:rsidR="0084355E" w:rsidRPr="000D4E29">
        <w:rPr>
          <w:sz w:val="24"/>
          <w:szCs w:val="24"/>
        </w:rPr>
        <w:t>)</w:t>
      </w:r>
      <w:r w:rsidR="00E64190" w:rsidRPr="000D4E29">
        <w:rPr>
          <w:sz w:val="24"/>
          <w:szCs w:val="24"/>
        </w:rPr>
        <w:t>.</w:t>
      </w:r>
    </w:p>
    <w:p w:rsidR="0038074C" w:rsidRDefault="0038074C" w:rsidP="000D4E29">
      <w:pPr>
        <w:spacing w:before="240" w:after="0" w:line="320" w:lineRule="atLeast"/>
        <w:jc w:val="both"/>
        <w:rPr>
          <w:sz w:val="24"/>
          <w:szCs w:val="24"/>
        </w:rPr>
      </w:pPr>
      <w:r w:rsidRPr="000D4E29">
        <w:rPr>
          <w:sz w:val="24"/>
          <w:szCs w:val="24"/>
        </w:rPr>
        <w:t>Repetimos que a Ordem dos Médicos aconselha a prescrição de genéricos, sempre que o Médico entender fazê-lo em diálogo com o doente, pelo que não entendemos porque se continua a tentar confundir esta questão. Salientamos que há muitos doentes que, depois de terem experimentado os genéricos e não se terem sentido bem</w:t>
      </w:r>
      <w:r w:rsidR="00A224A8" w:rsidRPr="000D4E29">
        <w:rPr>
          <w:sz w:val="24"/>
          <w:szCs w:val="24"/>
        </w:rPr>
        <w:t xml:space="preserve"> ou não terem obtido os mesmos resultados</w:t>
      </w:r>
      <w:r w:rsidRPr="000D4E29">
        <w:rPr>
          <w:sz w:val="24"/>
          <w:szCs w:val="24"/>
        </w:rPr>
        <w:t>, insistem em continuar a tomar o medicamento original.</w:t>
      </w:r>
      <w:r w:rsidR="00335E22">
        <w:rPr>
          <w:sz w:val="24"/>
          <w:szCs w:val="24"/>
        </w:rPr>
        <w:t xml:space="preserve"> Também p</w:t>
      </w:r>
      <w:r w:rsidR="0084355E" w:rsidRPr="000D4E29">
        <w:rPr>
          <w:sz w:val="24"/>
          <w:szCs w:val="24"/>
        </w:rPr>
        <w:t>or est</w:t>
      </w:r>
      <w:r w:rsidR="00335E22">
        <w:rPr>
          <w:sz w:val="24"/>
          <w:szCs w:val="24"/>
        </w:rPr>
        <w:t>e motivo</w:t>
      </w:r>
      <w:r w:rsidR="0084355E" w:rsidRPr="000D4E29">
        <w:rPr>
          <w:sz w:val="24"/>
          <w:szCs w:val="24"/>
        </w:rPr>
        <w:t>, a prescrição de um medicamento genérico dificilment</w:t>
      </w:r>
      <w:r w:rsidR="00A224A8" w:rsidRPr="000D4E29">
        <w:rPr>
          <w:sz w:val="24"/>
          <w:szCs w:val="24"/>
        </w:rPr>
        <w:t>e atingirá os 100% de taxa de prescrição para cada molécula</w:t>
      </w:r>
      <w:r w:rsidR="0084355E" w:rsidRPr="000D4E29">
        <w:rPr>
          <w:sz w:val="24"/>
          <w:szCs w:val="24"/>
        </w:rPr>
        <w:t>.</w:t>
      </w:r>
    </w:p>
    <w:p w:rsidR="00E364B8" w:rsidRPr="000D4E29" w:rsidRDefault="00E364B8" w:rsidP="000D4E29">
      <w:pPr>
        <w:spacing w:before="240" w:after="0" w:line="320" w:lineRule="atLeast"/>
        <w:jc w:val="both"/>
        <w:rPr>
          <w:sz w:val="24"/>
          <w:szCs w:val="24"/>
        </w:rPr>
      </w:pPr>
      <w:r>
        <w:rPr>
          <w:sz w:val="24"/>
          <w:szCs w:val="24"/>
        </w:rPr>
        <w:t xml:space="preserve">Por razões semelhantes, </w:t>
      </w:r>
      <w:r w:rsidR="00335E22">
        <w:rPr>
          <w:sz w:val="24"/>
          <w:szCs w:val="24"/>
        </w:rPr>
        <w:t>igualmente</w:t>
      </w:r>
      <w:r w:rsidR="0019494C">
        <w:rPr>
          <w:sz w:val="24"/>
          <w:szCs w:val="24"/>
        </w:rPr>
        <w:t xml:space="preserve"> sem qualquer responsabilidade médica, </w:t>
      </w:r>
      <w:r>
        <w:rPr>
          <w:sz w:val="24"/>
          <w:szCs w:val="24"/>
        </w:rPr>
        <w:t>a quota de genéricos</w:t>
      </w:r>
      <w:r w:rsidR="00614EA2">
        <w:rPr>
          <w:sz w:val="24"/>
          <w:szCs w:val="24"/>
        </w:rPr>
        <w:t>, em unidades,</w:t>
      </w:r>
      <w:r>
        <w:rPr>
          <w:sz w:val="24"/>
          <w:szCs w:val="24"/>
        </w:rPr>
        <w:t xml:space="preserve"> nunca atingirá os 100%, considerando </w:t>
      </w:r>
      <w:r w:rsidR="0019494C">
        <w:rPr>
          <w:sz w:val="24"/>
          <w:szCs w:val="24"/>
        </w:rPr>
        <w:t xml:space="preserve">apenas </w:t>
      </w:r>
      <w:r>
        <w:rPr>
          <w:sz w:val="24"/>
          <w:szCs w:val="24"/>
        </w:rPr>
        <w:t>as moléculas disponíveis, porque há marcas que se sobrepõem ao princípio activo e que os doentes preferem</w:t>
      </w:r>
      <w:r w:rsidR="00335E22">
        <w:rPr>
          <w:sz w:val="24"/>
          <w:szCs w:val="24"/>
        </w:rPr>
        <w:t>/exigem</w:t>
      </w:r>
      <w:r>
        <w:rPr>
          <w:sz w:val="24"/>
          <w:szCs w:val="24"/>
        </w:rPr>
        <w:t xml:space="preserve">, como o </w:t>
      </w:r>
      <w:proofErr w:type="spellStart"/>
      <w:r w:rsidR="0019494C">
        <w:rPr>
          <w:sz w:val="24"/>
          <w:szCs w:val="24"/>
        </w:rPr>
        <w:t>ben</w:t>
      </w:r>
      <w:r>
        <w:rPr>
          <w:sz w:val="24"/>
          <w:szCs w:val="24"/>
        </w:rPr>
        <w:t>-ur-ron</w:t>
      </w:r>
      <w:proofErr w:type="spellEnd"/>
      <w:r>
        <w:rPr>
          <w:sz w:val="24"/>
          <w:szCs w:val="24"/>
        </w:rPr>
        <w:t xml:space="preserve">, o </w:t>
      </w:r>
      <w:proofErr w:type="spellStart"/>
      <w:r>
        <w:rPr>
          <w:sz w:val="24"/>
          <w:szCs w:val="24"/>
        </w:rPr>
        <w:t>voltaren</w:t>
      </w:r>
      <w:proofErr w:type="spellEnd"/>
      <w:r>
        <w:rPr>
          <w:sz w:val="24"/>
          <w:szCs w:val="24"/>
        </w:rPr>
        <w:t xml:space="preserve">, o </w:t>
      </w:r>
      <w:proofErr w:type="spellStart"/>
      <w:r>
        <w:rPr>
          <w:sz w:val="24"/>
          <w:szCs w:val="24"/>
        </w:rPr>
        <w:t>brufen</w:t>
      </w:r>
      <w:proofErr w:type="spellEnd"/>
      <w:r>
        <w:rPr>
          <w:sz w:val="24"/>
          <w:szCs w:val="24"/>
        </w:rPr>
        <w:t xml:space="preserve">, o </w:t>
      </w:r>
      <w:proofErr w:type="spellStart"/>
      <w:r>
        <w:rPr>
          <w:sz w:val="24"/>
          <w:szCs w:val="24"/>
        </w:rPr>
        <w:t>lorenin</w:t>
      </w:r>
      <w:proofErr w:type="spellEnd"/>
      <w:r>
        <w:rPr>
          <w:sz w:val="24"/>
          <w:szCs w:val="24"/>
        </w:rPr>
        <w:t xml:space="preserve">, o </w:t>
      </w:r>
      <w:proofErr w:type="spellStart"/>
      <w:r>
        <w:rPr>
          <w:sz w:val="24"/>
          <w:szCs w:val="24"/>
        </w:rPr>
        <w:t>lexotan</w:t>
      </w:r>
      <w:proofErr w:type="spellEnd"/>
      <w:r>
        <w:rPr>
          <w:sz w:val="24"/>
          <w:szCs w:val="24"/>
        </w:rPr>
        <w:t xml:space="preserve">, </w:t>
      </w:r>
      <w:r w:rsidR="00614EA2">
        <w:rPr>
          <w:sz w:val="24"/>
          <w:szCs w:val="24"/>
        </w:rPr>
        <w:t xml:space="preserve">diversos contraceptivos orais, </w:t>
      </w:r>
      <w:r>
        <w:rPr>
          <w:sz w:val="24"/>
          <w:szCs w:val="24"/>
        </w:rPr>
        <w:t>etc.</w:t>
      </w:r>
      <w:r w:rsidR="0019494C">
        <w:rPr>
          <w:sz w:val="24"/>
          <w:szCs w:val="24"/>
        </w:rPr>
        <w:t xml:space="preserve"> Correspondem a moléculas antigas, de baixo preço e sem diferença significativa de custo entre originais e genéricos, </w:t>
      </w:r>
      <w:r w:rsidR="00614EA2">
        <w:rPr>
          <w:sz w:val="24"/>
          <w:szCs w:val="24"/>
        </w:rPr>
        <w:t xml:space="preserve">algumas não sujeitas a receita médica obrigatória, </w:t>
      </w:r>
      <w:r w:rsidR="0019494C">
        <w:rPr>
          <w:sz w:val="24"/>
          <w:szCs w:val="24"/>
        </w:rPr>
        <w:t>mas que</w:t>
      </w:r>
      <w:r w:rsidR="00614EA2">
        <w:rPr>
          <w:sz w:val="24"/>
          <w:szCs w:val="24"/>
        </w:rPr>
        <w:t xml:space="preserve">, </w:t>
      </w:r>
      <w:r w:rsidR="00926FB3">
        <w:rPr>
          <w:sz w:val="24"/>
          <w:szCs w:val="24"/>
        </w:rPr>
        <w:t>pelo volume da sua utilização,</w:t>
      </w:r>
      <w:r w:rsidR="0019494C">
        <w:rPr>
          <w:sz w:val="24"/>
          <w:szCs w:val="24"/>
        </w:rPr>
        <w:t xml:space="preserve"> contribuem de modo significativo para que</w:t>
      </w:r>
      <w:r w:rsidR="00926FB3">
        <w:rPr>
          <w:sz w:val="24"/>
          <w:szCs w:val="24"/>
        </w:rPr>
        <w:t xml:space="preserve"> a quota de genéricos seja</w:t>
      </w:r>
      <w:r w:rsidR="0019494C">
        <w:rPr>
          <w:sz w:val="24"/>
          <w:szCs w:val="24"/>
        </w:rPr>
        <w:t xml:space="preserve"> inferior aquilo que, aparentemente, poderia ser.</w:t>
      </w:r>
    </w:p>
    <w:p w:rsidR="005D51F3" w:rsidRPr="005D51F3" w:rsidRDefault="00E64190" w:rsidP="005D51F3">
      <w:pPr>
        <w:spacing w:before="240" w:after="0" w:line="320" w:lineRule="atLeast"/>
        <w:jc w:val="both"/>
        <w:rPr>
          <w:sz w:val="24"/>
          <w:szCs w:val="24"/>
        </w:rPr>
      </w:pPr>
      <w:r w:rsidRPr="000D4E29">
        <w:rPr>
          <w:sz w:val="24"/>
          <w:szCs w:val="24"/>
        </w:rPr>
        <w:t xml:space="preserve">Toda a problemática presente, relativa à prescrição obrigatória e exclusiva por DCI, está relacionada com a vontade do legislador em considerar que todos </w:t>
      </w:r>
      <w:r w:rsidR="00EC432F" w:rsidRPr="000D4E29">
        <w:rPr>
          <w:sz w:val="24"/>
          <w:szCs w:val="24"/>
        </w:rPr>
        <w:t>os genéricos são bioequivalentes</w:t>
      </w:r>
      <w:r w:rsidR="0038074C" w:rsidRPr="000D4E29">
        <w:rPr>
          <w:sz w:val="24"/>
          <w:szCs w:val="24"/>
        </w:rPr>
        <w:t xml:space="preserve"> entre si</w:t>
      </w:r>
      <w:r w:rsidRPr="000D4E29">
        <w:rPr>
          <w:sz w:val="24"/>
          <w:szCs w:val="24"/>
        </w:rPr>
        <w:t xml:space="preserve"> e que, por conseguinte, a substituição de um genérico por outro genérico deve</w:t>
      </w:r>
      <w:r w:rsidR="00EC432F" w:rsidRPr="000D4E29">
        <w:rPr>
          <w:sz w:val="24"/>
          <w:szCs w:val="24"/>
        </w:rPr>
        <w:t>ria</w:t>
      </w:r>
      <w:r w:rsidRPr="000D4E29">
        <w:rPr>
          <w:sz w:val="24"/>
          <w:szCs w:val="24"/>
        </w:rPr>
        <w:t xml:space="preserve"> ser possibilitada sem quaisquer limitações, </w:t>
      </w:r>
      <w:r w:rsidR="00EC432F" w:rsidRPr="000D4E29">
        <w:rPr>
          <w:sz w:val="24"/>
          <w:szCs w:val="24"/>
        </w:rPr>
        <w:t xml:space="preserve">teoricamente </w:t>
      </w:r>
      <w:r w:rsidRPr="000D4E29">
        <w:rPr>
          <w:sz w:val="24"/>
          <w:szCs w:val="24"/>
        </w:rPr>
        <w:t>visando a dispensa do medicamento mais barato.</w:t>
      </w:r>
    </w:p>
    <w:p w:rsidR="0038074C" w:rsidRPr="000D4E29" w:rsidRDefault="0038074C" w:rsidP="000D4E29">
      <w:pPr>
        <w:spacing w:before="240" w:after="0" w:line="320" w:lineRule="atLeast"/>
        <w:jc w:val="both"/>
        <w:rPr>
          <w:sz w:val="24"/>
          <w:szCs w:val="24"/>
        </w:rPr>
      </w:pPr>
      <w:r w:rsidRPr="000D4E29">
        <w:rPr>
          <w:sz w:val="24"/>
          <w:szCs w:val="24"/>
        </w:rPr>
        <w:t>Porém, o que está demonstrado é que há genéricos que</w:t>
      </w:r>
      <w:r w:rsidR="00CF600B">
        <w:rPr>
          <w:sz w:val="24"/>
          <w:szCs w:val="24"/>
        </w:rPr>
        <w:t xml:space="preserve">, sendo </w:t>
      </w:r>
      <w:proofErr w:type="spellStart"/>
      <w:r w:rsidR="00CF600B">
        <w:rPr>
          <w:sz w:val="24"/>
          <w:szCs w:val="24"/>
        </w:rPr>
        <w:t>bioequivalentes</w:t>
      </w:r>
      <w:proofErr w:type="spellEnd"/>
      <w:r w:rsidR="00CF600B">
        <w:rPr>
          <w:sz w:val="24"/>
          <w:szCs w:val="24"/>
        </w:rPr>
        <w:t xml:space="preserve"> em relação ao produto original</w:t>
      </w:r>
      <w:r w:rsidRPr="000D4E29">
        <w:rPr>
          <w:sz w:val="24"/>
          <w:szCs w:val="24"/>
        </w:rPr>
        <w:t xml:space="preserve"> </w:t>
      </w:r>
      <w:r w:rsidR="00CF600B">
        <w:rPr>
          <w:sz w:val="24"/>
          <w:szCs w:val="24"/>
        </w:rPr>
        <w:t>(fármaco de referência) podem não ser</w:t>
      </w:r>
      <w:r w:rsidRPr="000D4E29">
        <w:rPr>
          <w:sz w:val="24"/>
          <w:szCs w:val="24"/>
        </w:rPr>
        <w:t xml:space="preserve"> </w:t>
      </w:r>
      <w:proofErr w:type="spellStart"/>
      <w:r w:rsidRPr="000D4E29">
        <w:rPr>
          <w:sz w:val="24"/>
          <w:szCs w:val="24"/>
        </w:rPr>
        <w:t>bioequivalentes</w:t>
      </w:r>
      <w:proofErr w:type="spellEnd"/>
      <w:r w:rsidRPr="000D4E29">
        <w:rPr>
          <w:sz w:val="24"/>
          <w:szCs w:val="24"/>
        </w:rPr>
        <w:t xml:space="preserve"> entre si, pelo </w:t>
      </w:r>
      <w:r w:rsidR="00F253FF" w:rsidRPr="000D4E29">
        <w:rPr>
          <w:sz w:val="24"/>
          <w:szCs w:val="24"/>
        </w:rPr>
        <w:t xml:space="preserve">que </w:t>
      </w:r>
      <w:r w:rsidRPr="000D4E29">
        <w:rPr>
          <w:sz w:val="24"/>
          <w:szCs w:val="24"/>
        </w:rPr>
        <w:t xml:space="preserve">a substituição </w:t>
      </w:r>
      <w:r w:rsidR="00F253FF" w:rsidRPr="000D4E29">
        <w:rPr>
          <w:sz w:val="24"/>
          <w:szCs w:val="24"/>
        </w:rPr>
        <w:t>desregrada</w:t>
      </w:r>
      <w:r w:rsidRPr="000D4E29">
        <w:rPr>
          <w:sz w:val="24"/>
          <w:szCs w:val="24"/>
        </w:rPr>
        <w:t xml:space="preserve"> de genéricos é prejudicial aos Doentes e à Qualidade da Saúde, com custos indirectos difíceis de calcular.</w:t>
      </w:r>
    </w:p>
    <w:p w:rsidR="001304BA" w:rsidRPr="000D4E29" w:rsidRDefault="0061196A" w:rsidP="000D4E29">
      <w:pPr>
        <w:spacing w:before="240" w:after="0" w:line="320" w:lineRule="atLeast"/>
        <w:jc w:val="both"/>
        <w:rPr>
          <w:sz w:val="24"/>
          <w:szCs w:val="24"/>
        </w:rPr>
      </w:pPr>
      <w:r w:rsidRPr="000D4E29">
        <w:rPr>
          <w:sz w:val="24"/>
          <w:szCs w:val="24"/>
        </w:rPr>
        <w:t xml:space="preserve">Aliás, a própria definição </w:t>
      </w:r>
      <w:r w:rsidR="00F253FF" w:rsidRPr="000D4E29">
        <w:rPr>
          <w:sz w:val="24"/>
          <w:szCs w:val="24"/>
        </w:rPr>
        <w:t xml:space="preserve">de genéricos </w:t>
      </w:r>
      <w:r w:rsidRPr="000D4E29">
        <w:rPr>
          <w:sz w:val="24"/>
          <w:szCs w:val="24"/>
        </w:rPr>
        <w:t>é abusiva</w:t>
      </w:r>
      <w:r w:rsidR="00F253FF" w:rsidRPr="000D4E29">
        <w:rPr>
          <w:sz w:val="24"/>
          <w:szCs w:val="24"/>
        </w:rPr>
        <w:t xml:space="preserve"> e pouco rigorosa</w:t>
      </w:r>
      <w:r w:rsidRPr="000D4E29">
        <w:rPr>
          <w:sz w:val="24"/>
          <w:szCs w:val="24"/>
        </w:rPr>
        <w:t xml:space="preserve">, ao considerar que </w:t>
      </w:r>
      <w:proofErr w:type="spellStart"/>
      <w:r w:rsidRPr="000D4E29">
        <w:rPr>
          <w:sz w:val="24"/>
          <w:szCs w:val="24"/>
        </w:rPr>
        <w:t>biodisponibilidade</w:t>
      </w:r>
      <w:proofErr w:type="spellEnd"/>
      <w:r w:rsidRPr="000D4E29">
        <w:rPr>
          <w:sz w:val="24"/>
          <w:szCs w:val="24"/>
        </w:rPr>
        <w:t xml:space="preserve"> é </w:t>
      </w:r>
      <w:r w:rsidR="00E10C67" w:rsidRPr="000D4E29">
        <w:rPr>
          <w:sz w:val="24"/>
          <w:szCs w:val="24"/>
        </w:rPr>
        <w:t xml:space="preserve">sempre </w:t>
      </w:r>
      <w:r w:rsidRPr="000D4E29">
        <w:rPr>
          <w:sz w:val="24"/>
          <w:szCs w:val="24"/>
        </w:rPr>
        <w:t xml:space="preserve">igual a </w:t>
      </w:r>
      <w:proofErr w:type="spellStart"/>
      <w:r w:rsidRPr="000D4E29">
        <w:rPr>
          <w:sz w:val="24"/>
          <w:szCs w:val="24"/>
        </w:rPr>
        <w:t>bioequivalência</w:t>
      </w:r>
      <w:proofErr w:type="spellEnd"/>
      <w:r w:rsidRPr="000D4E29">
        <w:rPr>
          <w:sz w:val="24"/>
          <w:szCs w:val="24"/>
        </w:rPr>
        <w:t>, o que não é necessariamente verdade, particularmente para os fármacos endovenosos</w:t>
      </w:r>
      <w:r w:rsidR="00E10C67" w:rsidRPr="000D4E29">
        <w:rPr>
          <w:sz w:val="24"/>
          <w:szCs w:val="24"/>
        </w:rPr>
        <w:t xml:space="preserve">, nomeadamente no caso do </w:t>
      </w:r>
      <w:proofErr w:type="spellStart"/>
      <w:r w:rsidR="004528CF">
        <w:rPr>
          <w:sz w:val="24"/>
          <w:szCs w:val="24"/>
        </w:rPr>
        <w:t>fentanilo</w:t>
      </w:r>
      <w:proofErr w:type="spellEnd"/>
      <w:r w:rsidR="005D51F3">
        <w:rPr>
          <w:sz w:val="24"/>
          <w:szCs w:val="24"/>
        </w:rPr>
        <w:t xml:space="preserve">, </w:t>
      </w:r>
      <w:r w:rsidR="005D51F3">
        <w:rPr>
          <w:sz w:val="24"/>
          <w:szCs w:val="24"/>
        </w:rPr>
        <w:lastRenderedPageBreak/>
        <w:t>conforme informação de muitos Colegas anestesistas</w:t>
      </w:r>
      <w:r w:rsidR="00E10C67" w:rsidRPr="000D4E29">
        <w:rPr>
          <w:sz w:val="24"/>
          <w:szCs w:val="24"/>
        </w:rPr>
        <w:t xml:space="preserve">. No nosso documento desafiámos o INFARMED a proceder a verdadeiros estudos de </w:t>
      </w:r>
      <w:proofErr w:type="spellStart"/>
      <w:r w:rsidR="00E10C67" w:rsidRPr="000D4E29">
        <w:rPr>
          <w:sz w:val="24"/>
          <w:szCs w:val="24"/>
        </w:rPr>
        <w:t>bioequivalência</w:t>
      </w:r>
      <w:proofErr w:type="spellEnd"/>
      <w:r w:rsidR="00E10C67" w:rsidRPr="000D4E29">
        <w:rPr>
          <w:sz w:val="24"/>
          <w:szCs w:val="24"/>
        </w:rPr>
        <w:t xml:space="preserve"> de alguns fármacos usados em anestesia, mas registamos com tristeza que o Presidente do INFARMED evitou abordar esta questão</w:t>
      </w:r>
      <w:r w:rsidR="00F253FF" w:rsidRPr="000D4E29">
        <w:rPr>
          <w:sz w:val="24"/>
          <w:szCs w:val="24"/>
        </w:rPr>
        <w:t xml:space="preserve"> na sua resposta</w:t>
      </w:r>
      <w:r w:rsidR="00E10C67" w:rsidRPr="000D4E29">
        <w:rPr>
          <w:sz w:val="24"/>
          <w:szCs w:val="24"/>
        </w:rPr>
        <w:t>… Já o esperávamos.</w:t>
      </w:r>
    </w:p>
    <w:p w:rsidR="00A224A8" w:rsidRPr="000D4E29" w:rsidRDefault="00A224A8" w:rsidP="000D4E29">
      <w:pPr>
        <w:spacing w:before="240" w:after="0" w:line="320" w:lineRule="atLeast"/>
        <w:jc w:val="both"/>
        <w:rPr>
          <w:sz w:val="24"/>
          <w:szCs w:val="24"/>
        </w:rPr>
      </w:pPr>
      <w:r w:rsidRPr="000D4E29">
        <w:rPr>
          <w:sz w:val="24"/>
          <w:szCs w:val="24"/>
        </w:rPr>
        <w:t>Esta s</w:t>
      </w:r>
      <w:r w:rsidR="00CF600B">
        <w:rPr>
          <w:sz w:val="24"/>
          <w:szCs w:val="24"/>
        </w:rPr>
        <w:t>ituação é tanto mais grave quant</w:t>
      </w:r>
      <w:r w:rsidRPr="000D4E29">
        <w:rPr>
          <w:sz w:val="24"/>
          <w:szCs w:val="24"/>
        </w:rPr>
        <w:t xml:space="preserve">o há exemplos publicados que atestam a falta de </w:t>
      </w:r>
      <w:proofErr w:type="spellStart"/>
      <w:r w:rsidRPr="000D4E29">
        <w:rPr>
          <w:sz w:val="24"/>
          <w:szCs w:val="24"/>
        </w:rPr>
        <w:t>bioequivalência</w:t>
      </w:r>
      <w:proofErr w:type="spellEnd"/>
      <w:r w:rsidRPr="000D4E29">
        <w:rPr>
          <w:sz w:val="24"/>
          <w:szCs w:val="24"/>
        </w:rPr>
        <w:t xml:space="preserve"> de genéricos endovenosos com consequências potencialmente mortais para os doentes. É o caso da </w:t>
      </w:r>
      <w:proofErr w:type="spellStart"/>
      <w:r w:rsidRPr="000D4E29">
        <w:rPr>
          <w:sz w:val="24"/>
          <w:szCs w:val="24"/>
        </w:rPr>
        <w:t>vancomicina</w:t>
      </w:r>
      <w:proofErr w:type="spellEnd"/>
      <w:r w:rsidRPr="000D4E29">
        <w:rPr>
          <w:sz w:val="24"/>
          <w:szCs w:val="24"/>
        </w:rPr>
        <w:t xml:space="preserve"> genérico, também à venda em Portugal, que</w:t>
      </w:r>
      <w:r w:rsidR="001304BA" w:rsidRPr="000D4E29">
        <w:rPr>
          <w:sz w:val="24"/>
          <w:szCs w:val="24"/>
        </w:rPr>
        <w:t xml:space="preserve"> tem como principal indicação </w:t>
      </w:r>
      <w:r w:rsidRPr="000D4E29">
        <w:rPr>
          <w:sz w:val="24"/>
          <w:szCs w:val="24"/>
        </w:rPr>
        <w:t>“</w:t>
      </w:r>
      <w:r w:rsidRPr="000D4E29">
        <w:rPr>
          <w:rFonts w:cs="T1"/>
          <w:sz w:val="24"/>
          <w:szCs w:val="24"/>
        </w:rPr>
        <w:t>Infecções graves, possivelmente com risco de vida, causadas por microrganismos</w:t>
      </w:r>
      <w:r w:rsidR="001304BA" w:rsidRPr="000D4E29">
        <w:rPr>
          <w:rFonts w:cs="T1"/>
          <w:sz w:val="24"/>
          <w:szCs w:val="24"/>
        </w:rPr>
        <w:t xml:space="preserve"> </w:t>
      </w:r>
      <w:proofErr w:type="spellStart"/>
      <w:r w:rsidRPr="000D4E29">
        <w:rPr>
          <w:rFonts w:cs="T1"/>
          <w:sz w:val="24"/>
          <w:szCs w:val="24"/>
        </w:rPr>
        <w:t>Gram</w:t>
      </w:r>
      <w:proofErr w:type="spellEnd"/>
      <w:r w:rsidRPr="000D4E29">
        <w:rPr>
          <w:rFonts w:cs="T1"/>
          <w:sz w:val="24"/>
          <w:szCs w:val="24"/>
        </w:rPr>
        <w:t xml:space="preserve"> positivo susceptíveis que não podem ser tratadas com outros </w:t>
      </w:r>
      <w:proofErr w:type="spellStart"/>
      <w:r w:rsidRPr="000D4E29">
        <w:rPr>
          <w:rFonts w:cs="T1"/>
          <w:sz w:val="24"/>
          <w:szCs w:val="24"/>
        </w:rPr>
        <w:t>antimicrobianos</w:t>
      </w:r>
      <w:proofErr w:type="spellEnd"/>
      <w:r w:rsidR="001304BA" w:rsidRPr="000D4E29">
        <w:rPr>
          <w:rFonts w:cs="T1"/>
          <w:sz w:val="24"/>
          <w:szCs w:val="24"/>
        </w:rPr>
        <w:t xml:space="preserve"> </w:t>
      </w:r>
      <w:r w:rsidRPr="000D4E29">
        <w:rPr>
          <w:rFonts w:cs="T1"/>
          <w:sz w:val="24"/>
          <w:szCs w:val="24"/>
        </w:rPr>
        <w:t xml:space="preserve">eficazes e menos tóxicos, tais como </w:t>
      </w:r>
      <w:r w:rsidR="001304BA" w:rsidRPr="000D4E29">
        <w:rPr>
          <w:rFonts w:cs="T1"/>
          <w:sz w:val="24"/>
          <w:szCs w:val="24"/>
        </w:rPr>
        <w:t xml:space="preserve">as penicilinas e </w:t>
      </w:r>
      <w:proofErr w:type="spellStart"/>
      <w:r w:rsidR="001304BA" w:rsidRPr="000D4E29">
        <w:rPr>
          <w:rFonts w:cs="T1"/>
          <w:sz w:val="24"/>
          <w:szCs w:val="24"/>
        </w:rPr>
        <w:t>cefalosporinas</w:t>
      </w:r>
      <w:proofErr w:type="spellEnd"/>
      <w:r w:rsidRPr="000D4E29">
        <w:rPr>
          <w:sz w:val="24"/>
          <w:szCs w:val="24"/>
        </w:rPr>
        <w:t>”</w:t>
      </w:r>
      <w:r w:rsidR="001304BA" w:rsidRPr="000D4E29">
        <w:rPr>
          <w:sz w:val="24"/>
          <w:szCs w:val="24"/>
        </w:rPr>
        <w:t>.</w:t>
      </w:r>
    </w:p>
    <w:p w:rsidR="00F35865" w:rsidRPr="000D4E29" w:rsidRDefault="001304BA" w:rsidP="000D4E29">
      <w:pPr>
        <w:spacing w:before="240" w:after="0" w:line="320" w:lineRule="atLeast"/>
        <w:jc w:val="both"/>
        <w:rPr>
          <w:sz w:val="24"/>
          <w:szCs w:val="24"/>
        </w:rPr>
      </w:pPr>
      <w:r w:rsidRPr="000D4E29">
        <w:rPr>
          <w:sz w:val="24"/>
          <w:szCs w:val="24"/>
        </w:rPr>
        <w:t xml:space="preserve">Um artigo recentemente publicado demonstrou que alguns genéricos da </w:t>
      </w:r>
      <w:proofErr w:type="spellStart"/>
      <w:r w:rsidRPr="000D4E29">
        <w:rPr>
          <w:sz w:val="24"/>
          <w:szCs w:val="24"/>
        </w:rPr>
        <w:t>vancomicina</w:t>
      </w:r>
      <w:proofErr w:type="spellEnd"/>
      <w:r w:rsidRPr="000D4E29">
        <w:rPr>
          <w:sz w:val="24"/>
          <w:szCs w:val="24"/>
        </w:rPr>
        <w:t xml:space="preserve">, não obstante cumprirem os critérios farmacológicos de </w:t>
      </w:r>
      <w:proofErr w:type="spellStart"/>
      <w:r w:rsidRPr="000D4E29">
        <w:rPr>
          <w:sz w:val="24"/>
          <w:szCs w:val="24"/>
        </w:rPr>
        <w:t>bioequivalência</w:t>
      </w:r>
      <w:proofErr w:type="spellEnd"/>
      <w:r w:rsidRPr="000D4E29">
        <w:rPr>
          <w:sz w:val="24"/>
          <w:szCs w:val="24"/>
        </w:rPr>
        <w:t>, falhara</w:t>
      </w:r>
      <w:r w:rsidR="00B64DAE" w:rsidRPr="000D4E29">
        <w:rPr>
          <w:sz w:val="24"/>
          <w:szCs w:val="24"/>
        </w:rPr>
        <w:t>m completamente em demonstrar</w:t>
      </w:r>
      <w:r w:rsidRPr="000D4E29">
        <w:rPr>
          <w:sz w:val="24"/>
          <w:szCs w:val="24"/>
        </w:rPr>
        <w:t xml:space="preserve"> </w:t>
      </w:r>
      <w:proofErr w:type="spellStart"/>
      <w:r w:rsidR="00CF600B" w:rsidRPr="000D4E29">
        <w:rPr>
          <w:i/>
          <w:sz w:val="24"/>
          <w:szCs w:val="24"/>
        </w:rPr>
        <w:t>in</w:t>
      </w:r>
      <w:proofErr w:type="spellEnd"/>
      <w:r w:rsidR="00CF600B" w:rsidRPr="000D4E29">
        <w:rPr>
          <w:i/>
          <w:sz w:val="24"/>
          <w:szCs w:val="24"/>
        </w:rPr>
        <w:t xml:space="preserve"> vivo</w:t>
      </w:r>
      <w:r w:rsidR="00CF600B" w:rsidRPr="000D4E29">
        <w:rPr>
          <w:sz w:val="24"/>
          <w:szCs w:val="24"/>
        </w:rPr>
        <w:t xml:space="preserve"> </w:t>
      </w:r>
      <w:r w:rsidRPr="000D4E29">
        <w:rPr>
          <w:sz w:val="24"/>
          <w:szCs w:val="24"/>
        </w:rPr>
        <w:t xml:space="preserve">actividade anti-bacteriana contra o </w:t>
      </w:r>
      <w:proofErr w:type="spellStart"/>
      <w:r w:rsidRPr="000D4E29">
        <w:rPr>
          <w:i/>
          <w:sz w:val="24"/>
          <w:szCs w:val="24"/>
        </w:rPr>
        <w:t>Staphylococcus</w:t>
      </w:r>
      <w:proofErr w:type="spellEnd"/>
      <w:r w:rsidRPr="000D4E29">
        <w:rPr>
          <w:i/>
          <w:sz w:val="24"/>
          <w:szCs w:val="24"/>
        </w:rPr>
        <w:t xml:space="preserve"> </w:t>
      </w:r>
      <w:proofErr w:type="spellStart"/>
      <w:r w:rsidRPr="000D4E29">
        <w:rPr>
          <w:i/>
          <w:sz w:val="24"/>
          <w:szCs w:val="24"/>
        </w:rPr>
        <w:t>aureus</w:t>
      </w:r>
      <w:proofErr w:type="spellEnd"/>
      <w:r w:rsidR="00B64DAE" w:rsidRPr="000D4E29">
        <w:rPr>
          <w:sz w:val="24"/>
          <w:szCs w:val="24"/>
        </w:rPr>
        <w:t>, a</w:t>
      </w:r>
      <w:r w:rsidR="00CF600B">
        <w:rPr>
          <w:sz w:val="24"/>
          <w:szCs w:val="24"/>
        </w:rPr>
        <w:t>o contrário do produto original</w:t>
      </w:r>
      <w:r w:rsidR="00B64DAE" w:rsidRPr="000D4E29">
        <w:rPr>
          <w:sz w:val="24"/>
          <w:szCs w:val="24"/>
        </w:rPr>
        <w:t xml:space="preserve"> (“</w:t>
      </w:r>
      <w:proofErr w:type="spellStart"/>
      <w:r w:rsidR="00B64DAE" w:rsidRPr="000D4E29">
        <w:rPr>
          <w:sz w:val="24"/>
          <w:szCs w:val="24"/>
        </w:rPr>
        <w:t>Generic</w:t>
      </w:r>
      <w:proofErr w:type="spellEnd"/>
      <w:r w:rsidR="00B64DAE" w:rsidRPr="000D4E29">
        <w:rPr>
          <w:sz w:val="24"/>
          <w:szCs w:val="24"/>
        </w:rPr>
        <w:t xml:space="preserve"> </w:t>
      </w:r>
      <w:proofErr w:type="spellStart"/>
      <w:r w:rsidR="00B64DAE" w:rsidRPr="000D4E29">
        <w:rPr>
          <w:sz w:val="24"/>
          <w:szCs w:val="24"/>
        </w:rPr>
        <w:t>vancomycin</w:t>
      </w:r>
      <w:proofErr w:type="spellEnd"/>
      <w:r w:rsidR="00B64DAE" w:rsidRPr="000D4E29">
        <w:rPr>
          <w:sz w:val="24"/>
          <w:szCs w:val="24"/>
        </w:rPr>
        <w:t xml:space="preserve"> </w:t>
      </w:r>
      <w:proofErr w:type="spellStart"/>
      <w:r w:rsidR="00B64DAE" w:rsidRPr="000D4E29">
        <w:rPr>
          <w:sz w:val="24"/>
          <w:szCs w:val="24"/>
        </w:rPr>
        <w:t>products</w:t>
      </w:r>
      <w:proofErr w:type="spellEnd"/>
      <w:r w:rsidR="00B64DAE" w:rsidRPr="000D4E29">
        <w:rPr>
          <w:sz w:val="24"/>
          <w:szCs w:val="24"/>
        </w:rPr>
        <w:t xml:space="preserve"> </w:t>
      </w:r>
      <w:proofErr w:type="spellStart"/>
      <w:r w:rsidR="00B64DAE" w:rsidRPr="000D4E29">
        <w:rPr>
          <w:sz w:val="24"/>
          <w:szCs w:val="24"/>
        </w:rPr>
        <w:t>fail</w:t>
      </w:r>
      <w:proofErr w:type="spellEnd"/>
      <w:r w:rsidR="00B64DAE" w:rsidRPr="000D4E29">
        <w:rPr>
          <w:sz w:val="24"/>
          <w:szCs w:val="24"/>
        </w:rPr>
        <w:t xml:space="preserve"> </w:t>
      </w:r>
      <w:proofErr w:type="spellStart"/>
      <w:r w:rsidR="00B64DAE" w:rsidRPr="000D4E29">
        <w:rPr>
          <w:i/>
          <w:sz w:val="24"/>
          <w:szCs w:val="24"/>
        </w:rPr>
        <w:t>in</w:t>
      </w:r>
      <w:proofErr w:type="spellEnd"/>
      <w:r w:rsidR="00B64DAE" w:rsidRPr="000D4E29">
        <w:rPr>
          <w:i/>
          <w:sz w:val="24"/>
          <w:szCs w:val="24"/>
        </w:rPr>
        <w:t xml:space="preserve"> vivo</w:t>
      </w:r>
      <w:r w:rsidR="00B64DAE" w:rsidRPr="000D4E29">
        <w:rPr>
          <w:sz w:val="24"/>
          <w:szCs w:val="24"/>
        </w:rPr>
        <w:t xml:space="preserve"> </w:t>
      </w:r>
      <w:proofErr w:type="spellStart"/>
      <w:r w:rsidR="00B64DAE" w:rsidRPr="000D4E29">
        <w:rPr>
          <w:sz w:val="24"/>
          <w:szCs w:val="24"/>
        </w:rPr>
        <w:t>despite</w:t>
      </w:r>
      <w:proofErr w:type="spellEnd"/>
      <w:r w:rsidR="00B64DAE" w:rsidRPr="000D4E29">
        <w:rPr>
          <w:sz w:val="24"/>
          <w:szCs w:val="24"/>
        </w:rPr>
        <w:t xml:space="preserve"> </w:t>
      </w:r>
      <w:proofErr w:type="spellStart"/>
      <w:r w:rsidR="00B64DAE" w:rsidRPr="000D4E29">
        <w:rPr>
          <w:sz w:val="24"/>
          <w:szCs w:val="24"/>
        </w:rPr>
        <w:t>being</w:t>
      </w:r>
      <w:proofErr w:type="spellEnd"/>
      <w:r w:rsidR="00B64DAE" w:rsidRPr="000D4E29">
        <w:rPr>
          <w:sz w:val="24"/>
          <w:szCs w:val="24"/>
        </w:rPr>
        <w:t xml:space="preserve"> </w:t>
      </w:r>
      <w:proofErr w:type="spellStart"/>
      <w:r w:rsidR="00B64DAE" w:rsidRPr="000D4E29">
        <w:rPr>
          <w:sz w:val="24"/>
          <w:szCs w:val="24"/>
        </w:rPr>
        <w:t>pharmaceutical</w:t>
      </w:r>
      <w:proofErr w:type="spellEnd"/>
      <w:r w:rsidR="00B64DAE" w:rsidRPr="000D4E29">
        <w:rPr>
          <w:sz w:val="24"/>
          <w:szCs w:val="24"/>
        </w:rPr>
        <w:t xml:space="preserve"> </w:t>
      </w:r>
      <w:proofErr w:type="spellStart"/>
      <w:r w:rsidR="00B64DAE" w:rsidRPr="000D4E29">
        <w:rPr>
          <w:sz w:val="24"/>
          <w:szCs w:val="24"/>
        </w:rPr>
        <w:t>equivalents</w:t>
      </w:r>
      <w:proofErr w:type="spellEnd"/>
      <w:r w:rsidR="00B64DAE" w:rsidRPr="000D4E29">
        <w:rPr>
          <w:sz w:val="24"/>
          <w:szCs w:val="24"/>
        </w:rPr>
        <w:t xml:space="preserve"> </w:t>
      </w:r>
      <w:proofErr w:type="spellStart"/>
      <w:r w:rsidR="00B64DAE" w:rsidRPr="000D4E29">
        <w:rPr>
          <w:sz w:val="24"/>
          <w:szCs w:val="24"/>
        </w:rPr>
        <w:t>of</w:t>
      </w:r>
      <w:proofErr w:type="spellEnd"/>
      <w:r w:rsidR="00B64DAE" w:rsidRPr="000D4E29">
        <w:rPr>
          <w:sz w:val="24"/>
          <w:szCs w:val="24"/>
        </w:rPr>
        <w:t xml:space="preserve"> </w:t>
      </w:r>
      <w:proofErr w:type="spellStart"/>
      <w:r w:rsidR="00B64DAE" w:rsidRPr="000D4E29">
        <w:rPr>
          <w:sz w:val="24"/>
          <w:szCs w:val="24"/>
        </w:rPr>
        <w:t>the</w:t>
      </w:r>
      <w:proofErr w:type="spellEnd"/>
      <w:r w:rsidR="00B64DAE" w:rsidRPr="000D4E29">
        <w:rPr>
          <w:sz w:val="24"/>
          <w:szCs w:val="24"/>
        </w:rPr>
        <w:t xml:space="preserve"> </w:t>
      </w:r>
      <w:proofErr w:type="spellStart"/>
      <w:r w:rsidR="00B64DAE" w:rsidRPr="000D4E29">
        <w:rPr>
          <w:sz w:val="24"/>
          <w:szCs w:val="24"/>
        </w:rPr>
        <w:t>innovator</w:t>
      </w:r>
      <w:proofErr w:type="spellEnd"/>
      <w:r w:rsidR="00B64DAE" w:rsidRPr="000D4E29">
        <w:rPr>
          <w:sz w:val="24"/>
          <w:szCs w:val="24"/>
        </w:rPr>
        <w:t xml:space="preserve">”. Vesga O e al. </w:t>
      </w:r>
      <w:proofErr w:type="spellStart"/>
      <w:r w:rsidR="00B64DAE" w:rsidRPr="000D4E29">
        <w:rPr>
          <w:sz w:val="24"/>
          <w:szCs w:val="24"/>
        </w:rPr>
        <w:t>Antimicrob</w:t>
      </w:r>
      <w:r w:rsidR="00F35865" w:rsidRPr="000D4E29">
        <w:rPr>
          <w:sz w:val="24"/>
          <w:szCs w:val="24"/>
        </w:rPr>
        <w:t>ial</w:t>
      </w:r>
      <w:proofErr w:type="spellEnd"/>
      <w:r w:rsidR="00F35865" w:rsidRPr="000D4E29">
        <w:rPr>
          <w:sz w:val="24"/>
          <w:szCs w:val="24"/>
        </w:rPr>
        <w:t xml:space="preserve"> </w:t>
      </w:r>
      <w:proofErr w:type="spellStart"/>
      <w:r w:rsidR="00F35865" w:rsidRPr="000D4E29">
        <w:rPr>
          <w:sz w:val="24"/>
          <w:szCs w:val="24"/>
        </w:rPr>
        <w:t>A</w:t>
      </w:r>
      <w:r w:rsidR="00B64DAE" w:rsidRPr="000D4E29">
        <w:rPr>
          <w:sz w:val="24"/>
          <w:szCs w:val="24"/>
        </w:rPr>
        <w:t>gents</w:t>
      </w:r>
      <w:proofErr w:type="spellEnd"/>
      <w:r w:rsidR="00B64DAE" w:rsidRPr="000D4E29">
        <w:rPr>
          <w:sz w:val="24"/>
          <w:szCs w:val="24"/>
        </w:rPr>
        <w:t xml:space="preserve"> </w:t>
      </w:r>
      <w:proofErr w:type="spellStart"/>
      <w:r w:rsidR="00B64DAE" w:rsidRPr="000D4E29">
        <w:rPr>
          <w:sz w:val="24"/>
          <w:szCs w:val="24"/>
        </w:rPr>
        <w:t>and</w:t>
      </w:r>
      <w:proofErr w:type="spellEnd"/>
      <w:r w:rsidR="00B64DAE" w:rsidRPr="000D4E29">
        <w:rPr>
          <w:sz w:val="24"/>
          <w:szCs w:val="24"/>
        </w:rPr>
        <w:t xml:space="preserve"> </w:t>
      </w:r>
      <w:proofErr w:type="spellStart"/>
      <w:r w:rsidR="00B64DAE" w:rsidRPr="000D4E29">
        <w:rPr>
          <w:sz w:val="24"/>
          <w:szCs w:val="24"/>
        </w:rPr>
        <w:t>Chemotherapy</w:t>
      </w:r>
      <w:proofErr w:type="spellEnd"/>
      <w:r w:rsidR="00B64DAE" w:rsidRPr="000D4E29">
        <w:rPr>
          <w:sz w:val="24"/>
          <w:szCs w:val="24"/>
        </w:rPr>
        <w:t xml:space="preserve">, 2010; 54: 3271-9). </w:t>
      </w:r>
    </w:p>
    <w:p w:rsidR="001304BA" w:rsidRPr="000D4E29" w:rsidRDefault="001E179C" w:rsidP="000D4E29">
      <w:pPr>
        <w:spacing w:before="240" w:after="0" w:line="320" w:lineRule="atLeast"/>
        <w:jc w:val="both"/>
        <w:rPr>
          <w:sz w:val="24"/>
          <w:szCs w:val="24"/>
        </w:rPr>
      </w:pPr>
      <w:r w:rsidRPr="000D4E29">
        <w:rPr>
          <w:sz w:val="24"/>
          <w:szCs w:val="24"/>
        </w:rPr>
        <w:t>Mais uma vez</w:t>
      </w:r>
      <w:r w:rsidR="00F35865" w:rsidRPr="000D4E29">
        <w:rPr>
          <w:sz w:val="24"/>
          <w:szCs w:val="24"/>
        </w:rPr>
        <w:t>, comprova-se que</w:t>
      </w:r>
      <w:r w:rsidR="00B64DAE" w:rsidRPr="000D4E29">
        <w:rPr>
          <w:sz w:val="24"/>
          <w:szCs w:val="24"/>
        </w:rPr>
        <w:t xml:space="preserve"> </w:t>
      </w:r>
      <w:proofErr w:type="spellStart"/>
      <w:r w:rsidR="00B64DAE" w:rsidRPr="000D4E29">
        <w:rPr>
          <w:sz w:val="24"/>
          <w:szCs w:val="24"/>
        </w:rPr>
        <w:t>biodisponibilidade</w:t>
      </w:r>
      <w:proofErr w:type="spellEnd"/>
      <w:r w:rsidR="00B64DAE" w:rsidRPr="000D4E29">
        <w:rPr>
          <w:sz w:val="24"/>
          <w:szCs w:val="24"/>
        </w:rPr>
        <w:t xml:space="preserve"> nem s</w:t>
      </w:r>
      <w:r w:rsidR="00F35865" w:rsidRPr="000D4E29">
        <w:rPr>
          <w:sz w:val="24"/>
          <w:szCs w:val="24"/>
        </w:rPr>
        <w:t xml:space="preserve">empre é igual a </w:t>
      </w:r>
      <w:proofErr w:type="spellStart"/>
      <w:r w:rsidR="00F35865" w:rsidRPr="000D4E29">
        <w:rPr>
          <w:sz w:val="24"/>
          <w:szCs w:val="24"/>
        </w:rPr>
        <w:t>bioequivalência</w:t>
      </w:r>
      <w:proofErr w:type="spellEnd"/>
      <w:r w:rsidR="00F35865" w:rsidRPr="000D4E29">
        <w:rPr>
          <w:sz w:val="24"/>
          <w:szCs w:val="24"/>
        </w:rPr>
        <w:t>. No caso dos antibióticos, as razões são quatro (Vesga O e al. AAC, 2010; 54: 3271-9):</w:t>
      </w:r>
    </w:p>
    <w:p w:rsidR="00F35865" w:rsidRPr="000D4E29" w:rsidRDefault="00F35865" w:rsidP="000D4E29">
      <w:pPr>
        <w:pStyle w:val="PargrafodaLista"/>
        <w:numPr>
          <w:ilvl w:val="0"/>
          <w:numId w:val="1"/>
        </w:numPr>
        <w:spacing w:before="240" w:after="0" w:line="320" w:lineRule="atLeast"/>
        <w:jc w:val="both"/>
        <w:rPr>
          <w:sz w:val="24"/>
          <w:szCs w:val="24"/>
        </w:rPr>
      </w:pPr>
      <w:r w:rsidRPr="000D4E29">
        <w:rPr>
          <w:sz w:val="24"/>
          <w:szCs w:val="24"/>
        </w:rPr>
        <w:t xml:space="preserve">Muitos </w:t>
      </w:r>
      <w:proofErr w:type="spellStart"/>
      <w:r w:rsidRPr="000D4E29">
        <w:rPr>
          <w:sz w:val="24"/>
          <w:szCs w:val="24"/>
        </w:rPr>
        <w:t>antibacterianos</w:t>
      </w:r>
      <w:proofErr w:type="spellEnd"/>
      <w:r w:rsidRPr="000D4E29">
        <w:rPr>
          <w:sz w:val="24"/>
          <w:szCs w:val="24"/>
        </w:rPr>
        <w:t xml:space="preserve"> são </w:t>
      </w:r>
      <w:proofErr w:type="spellStart"/>
      <w:r w:rsidRPr="000D4E29">
        <w:rPr>
          <w:sz w:val="24"/>
          <w:szCs w:val="24"/>
        </w:rPr>
        <w:t>secretados</w:t>
      </w:r>
      <w:proofErr w:type="spellEnd"/>
      <w:r w:rsidRPr="000D4E29">
        <w:rPr>
          <w:sz w:val="24"/>
          <w:szCs w:val="24"/>
        </w:rPr>
        <w:t xml:space="preserve"> na natureza por </w:t>
      </w:r>
      <w:proofErr w:type="spellStart"/>
      <w:r w:rsidRPr="000D4E29">
        <w:rPr>
          <w:sz w:val="24"/>
          <w:szCs w:val="24"/>
        </w:rPr>
        <w:t>microorganismos</w:t>
      </w:r>
      <w:proofErr w:type="spellEnd"/>
      <w:r w:rsidRPr="000D4E29">
        <w:rPr>
          <w:sz w:val="24"/>
          <w:szCs w:val="24"/>
        </w:rPr>
        <w:t xml:space="preserve"> e a produção industrial da molécula activa envolve complexos processos de </w:t>
      </w:r>
      <w:proofErr w:type="spellStart"/>
      <w:r w:rsidRPr="000D4E29">
        <w:rPr>
          <w:sz w:val="24"/>
          <w:szCs w:val="24"/>
        </w:rPr>
        <w:t>biossíntese</w:t>
      </w:r>
      <w:proofErr w:type="spellEnd"/>
      <w:r w:rsidRPr="000D4E29">
        <w:rPr>
          <w:sz w:val="24"/>
          <w:szCs w:val="24"/>
        </w:rPr>
        <w:t>, purificação e manufactura, difíceis de replicar mesmo para a empresa original.</w:t>
      </w:r>
    </w:p>
    <w:p w:rsidR="00F35865" w:rsidRPr="000D4E29" w:rsidRDefault="00F35865" w:rsidP="000D4E29">
      <w:pPr>
        <w:pStyle w:val="PargrafodaLista"/>
        <w:numPr>
          <w:ilvl w:val="0"/>
          <w:numId w:val="1"/>
        </w:numPr>
        <w:spacing w:before="240" w:after="0" w:line="320" w:lineRule="atLeast"/>
        <w:jc w:val="both"/>
        <w:rPr>
          <w:sz w:val="24"/>
          <w:szCs w:val="24"/>
        </w:rPr>
      </w:pPr>
      <w:r w:rsidRPr="000D4E29">
        <w:rPr>
          <w:sz w:val="24"/>
          <w:szCs w:val="24"/>
        </w:rPr>
        <w:t>Duas moléculas podem parecer similares sem serem idênticas, com diferentes efeitos biológicos.</w:t>
      </w:r>
    </w:p>
    <w:p w:rsidR="00F35865" w:rsidRPr="000D4E29" w:rsidRDefault="00F35865" w:rsidP="000D4E29">
      <w:pPr>
        <w:pStyle w:val="PargrafodaLista"/>
        <w:numPr>
          <w:ilvl w:val="0"/>
          <w:numId w:val="1"/>
        </w:numPr>
        <w:spacing w:before="240" w:after="0" w:line="320" w:lineRule="atLeast"/>
        <w:jc w:val="both"/>
        <w:rPr>
          <w:sz w:val="24"/>
          <w:szCs w:val="24"/>
        </w:rPr>
      </w:pPr>
      <w:r w:rsidRPr="000D4E29">
        <w:rPr>
          <w:sz w:val="24"/>
          <w:szCs w:val="24"/>
        </w:rPr>
        <w:t>Os produtores dos genéricos não conhecem necessariamente a natureza, a composição e as interacções farmacológicas dos excipientes utilizados pela empresa do produto original, para evitar polimorfismos do princípio activo.</w:t>
      </w:r>
    </w:p>
    <w:p w:rsidR="00F35865" w:rsidRPr="000D4E29" w:rsidRDefault="00F35865" w:rsidP="000D4E29">
      <w:pPr>
        <w:pStyle w:val="PargrafodaLista"/>
        <w:numPr>
          <w:ilvl w:val="0"/>
          <w:numId w:val="1"/>
        </w:numPr>
        <w:spacing w:before="240" w:after="0" w:line="320" w:lineRule="atLeast"/>
        <w:jc w:val="both"/>
        <w:rPr>
          <w:sz w:val="24"/>
          <w:szCs w:val="24"/>
        </w:rPr>
      </w:pPr>
      <w:r w:rsidRPr="000D4E29">
        <w:rPr>
          <w:sz w:val="24"/>
          <w:szCs w:val="24"/>
        </w:rPr>
        <w:t xml:space="preserve">Enquanto a maior parte dos medicamentos interage apenas com </w:t>
      </w:r>
      <w:proofErr w:type="gramStart"/>
      <w:r w:rsidRPr="000D4E29">
        <w:rPr>
          <w:sz w:val="24"/>
          <w:szCs w:val="24"/>
        </w:rPr>
        <w:t>o doentes</w:t>
      </w:r>
      <w:proofErr w:type="gramEnd"/>
      <w:r w:rsidRPr="000D4E29">
        <w:rPr>
          <w:sz w:val="24"/>
          <w:szCs w:val="24"/>
        </w:rPr>
        <w:t xml:space="preserve">, os </w:t>
      </w:r>
      <w:proofErr w:type="spellStart"/>
      <w:r w:rsidRPr="000D4E29">
        <w:rPr>
          <w:sz w:val="24"/>
          <w:szCs w:val="24"/>
        </w:rPr>
        <w:t>antimicrobianos</w:t>
      </w:r>
      <w:proofErr w:type="spellEnd"/>
      <w:r w:rsidRPr="000D4E29">
        <w:rPr>
          <w:sz w:val="24"/>
          <w:szCs w:val="24"/>
        </w:rPr>
        <w:t xml:space="preserve"> </w:t>
      </w:r>
      <w:r w:rsidR="001E179C" w:rsidRPr="000D4E29">
        <w:rPr>
          <w:sz w:val="24"/>
          <w:szCs w:val="24"/>
        </w:rPr>
        <w:t>também confrontam o organismo invasor, um triângulo dinâmico com numerosas possibilidades de variações biológicas.</w:t>
      </w:r>
    </w:p>
    <w:p w:rsidR="00BE3DAC" w:rsidRDefault="00BE3DAC" w:rsidP="00BE3DAC">
      <w:pPr>
        <w:spacing w:before="240" w:after="0" w:line="320" w:lineRule="atLeast"/>
        <w:jc w:val="both"/>
        <w:rPr>
          <w:sz w:val="24"/>
          <w:szCs w:val="24"/>
        </w:rPr>
      </w:pPr>
      <w:r w:rsidRPr="000D4E29">
        <w:rPr>
          <w:sz w:val="24"/>
          <w:szCs w:val="24"/>
        </w:rPr>
        <w:t xml:space="preserve">Voltando à carta do INFARMED e ao contrário do que esta indicia, nunca afirmámos que a legislação portuguesa fosse diferente da europeia. </w:t>
      </w:r>
      <w:r>
        <w:rPr>
          <w:sz w:val="24"/>
          <w:szCs w:val="24"/>
        </w:rPr>
        <w:t xml:space="preserve">A legislação nacional está em linha com a legislação internacional, </w:t>
      </w:r>
      <w:r w:rsidRPr="000D4E29">
        <w:rPr>
          <w:sz w:val="24"/>
          <w:szCs w:val="24"/>
        </w:rPr>
        <w:t xml:space="preserve">que aceita uma definição de genéricos decidida por mera convenção, sem bases científicas, feita para </w:t>
      </w:r>
      <w:r>
        <w:rPr>
          <w:sz w:val="24"/>
          <w:szCs w:val="24"/>
        </w:rPr>
        <w:t xml:space="preserve">baixar os níveis de investimento dos produtores, </w:t>
      </w:r>
      <w:r w:rsidRPr="000D4E29">
        <w:rPr>
          <w:sz w:val="24"/>
          <w:szCs w:val="24"/>
        </w:rPr>
        <w:t>facilitar</w:t>
      </w:r>
      <w:r>
        <w:rPr>
          <w:sz w:val="24"/>
          <w:szCs w:val="24"/>
        </w:rPr>
        <w:t>,</w:t>
      </w:r>
      <w:r w:rsidRPr="000D4E29">
        <w:rPr>
          <w:sz w:val="24"/>
          <w:szCs w:val="24"/>
        </w:rPr>
        <w:t xml:space="preserve"> </w:t>
      </w:r>
      <w:r>
        <w:rPr>
          <w:sz w:val="24"/>
          <w:szCs w:val="24"/>
        </w:rPr>
        <w:t xml:space="preserve">e agilizar </w:t>
      </w:r>
      <w:r w:rsidRPr="000D4E29">
        <w:rPr>
          <w:sz w:val="24"/>
          <w:szCs w:val="24"/>
        </w:rPr>
        <w:t>a aprovação de genéricos</w:t>
      </w:r>
      <w:r>
        <w:rPr>
          <w:sz w:val="24"/>
          <w:szCs w:val="24"/>
        </w:rPr>
        <w:t>,</w:t>
      </w:r>
      <w:r w:rsidRPr="000D4E29">
        <w:rPr>
          <w:sz w:val="24"/>
          <w:szCs w:val="24"/>
        </w:rPr>
        <w:t xml:space="preserve"> </w:t>
      </w:r>
      <w:r>
        <w:rPr>
          <w:sz w:val="24"/>
          <w:szCs w:val="24"/>
        </w:rPr>
        <w:t>sendo</w:t>
      </w:r>
      <w:r w:rsidRPr="000D4E29">
        <w:rPr>
          <w:sz w:val="24"/>
          <w:szCs w:val="24"/>
        </w:rPr>
        <w:t xml:space="preserve"> pouco consentânea com o rigor que a Medicina e os Doentes actualmente exigem. </w:t>
      </w:r>
    </w:p>
    <w:p w:rsidR="00E10C67" w:rsidRPr="000D4E29" w:rsidRDefault="00E10C67" w:rsidP="000D4E29">
      <w:pPr>
        <w:spacing w:before="240" w:after="0" w:line="320" w:lineRule="atLeast"/>
        <w:jc w:val="both"/>
        <w:rPr>
          <w:sz w:val="24"/>
          <w:szCs w:val="24"/>
        </w:rPr>
      </w:pPr>
      <w:r w:rsidRPr="000D4E29">
        <w:rPr>
          <w:sz w:val="24"/>
          <w:szCs w:val="24"/>
        </w:rPr>
        <w:t>É inacreditável e revela uma inaceitável falta de rigor que o INFARMED afiance que a legislação em vigor torne virtualmente impossível a aprovação de um genérico que origine uma diferença de 20% nas concentrações plasmáticas médias</w:t>
      </w:r>
      <w:r w:rsidR="001C24B1" w:rsidRPr="000D4E29">
        <w:rPr>
          <w:sz w:val="24"/>
          <w:szCs w:val="24"/>
        </w:rPr>
        <w:t xml:space="preserve"> relativamente ao medicamento de marca.</w:t>
      </w:r>
    </w:p>
    <w:p w:rsidR="00E10C67" w:rsidRPr="000D4E29" w:rsidRDefault="001F6D50" w:rsidP="000D4E29">
      <w:pPr>
        <w:spacing w:before="240" w:after="0" w:line="320" w:lineRule="atLeast"/>
        <w:jc w:val="both"/>
        <w:rPr>
          <w:sz w:val="24"/>
          <w:szCs w:val="24"/>
        </w:rPr>
      </w:pPr>
      <w:r w:rsidRPr="000D4E29">
        <w:rPr>
          <w:sz w:val="24"/>
          <w:szCs w:val="24"/>
        </w:rPr>
        <w:lastRenderedPageBreak/>
        <w:t>Imagine-se, por exemplo, um fármaco cujas concentrações médias sobre o produto original são de 121,5% e que o respectivo intervalo de confiança a 90% não ultrapasse o correspondente a 7% de variabilidade</w:t>
      </w:r>
      <w:r w:rsidR="00F253FF" w:rsidRPr="000D4E29">
        <w:rPr>
          <w:sz w:val="24"/>
          <w:szCs w:val="24"/>
        </w:rPr>
        <w:t xml:space="preserve"> (3,5% para cada lado)</w:t>
      </w:r>
      <w:r w:rsidRPr="000D4E29">
        <w:rPr>
          <w:sz w:val="24"/>
          <w:szCs w:val="24"/>
        </w:rPr>
        <w:t>, pelo que está de acordo com a definição de genérico. Este genérico cumpre a legislação, é aprovado, mas tem uma diferença superior a 20% para o produto original.</w:t>
      </w:r>
    </w:p>
    <w:p w:rsidR="002236C9" w:rsidRPr="000D4E29" w:rsidRDefault="002236C9" w:rsidP="000D4E29">
      <w:pPr>
        <w:spacing w:before="240" w:after="0" w:line="320" w:lineRule="atLeast"/>
        <w:jc w:val="both"/>
        <w:rPr>
          <w:sz w:val="24"/>
          <w:szCs w:val="24"/>
        </w:rPr>
      </w:pPr>
      <w:r w:rsidRPr="000D4E29">
        <w:rPr>
          <w:sz w:val="24"/>
          <w:szCs w:val="24"/>
        </w:rPr>
        <w:t xml:space="preserve">É afirmado pelo INFARMED que mais de 90% dos genéricos do mercado diferem menos de 10% do medicamento de referência. A ilação óbvia é que em 10% dos casos a variabilidade é superior! O que implica que se </w:t>
      </w:r>
      <w:proofErr w:type="spellStart"/>
      <w:r w:rsidR="009E7A7A">
        <w:rPr>
          <w:sz w:val="24"/>
          <w:szCs w:val="24"/>
        </w:rPr>
        <w:t>se</w:t>
      </w:r>
      <w:proofErr w:type="spellEnd"/>
      <w:r w:rsidR="009E7A7A">
        <w:rPr>
          <w:sz w:val="24"/>
          <w:szCs w:val="24"/>
        </w:rPr>
        <w:t xml:space="preserve"> </w:t>
      </w:r>
      <w:r w:rsidRPr="000D4E29">
        <w:rPr>
          <w:sz w:val="24"/>
          <w:szCs w:val="24"/>
        </w:rPr>
        <w:t>substituísse um gené</w:t>
      </w:r>
      <w:r w:rsidR="009E7A7A">
        <w:rPr>
          <w:sz w:val="24"/>
          <w:szCs w:val="24"/>
        </w:rPr>
        <w:t>rico que variasse</w:t>
      </w:r>
      <w:r w:rsidRPr="000D4E29">
        <w:rPr>
          <w:sz w:val="24"/>
          <w:szCs w:val="24"/>
        </w:rPr>
        <w:t xml:space="preserve"> mais de 10% para cima, por um que variasse mais de 10% para baixo, relativamente ao p</w:t>
      </w:r>
      <w:r w:rsidR="009E7A7A">
        <w:rPr>
          <w:sz w:val="24"/>
          <w:szCs w:val="24"/>
        </w:rPr>
        <w:t>roduto de marca, estaríamos</w:t>
      </w:r>
      <w:r w:rsidR="00F253FF" w:rsidRPr="000D4E29">
        <w:rPr>
          <w:sz w:val="24"/>
          <w:szCs w:val="24"/>
        </w:rPr>
        <w:t xml:space="preserve"> a provocar variações das concentrações do princípio activo superiores a 20%, com óbvias consequências clínicas.</w:t>
      </w:r>
    </w:p>
    <w:p w:rsidR="00C3708A" w:rsidRPr="000D4E29" w:rsidRDefault="009E7A7A" w:rsidP="000D4E29">
      <w:pPr>
        <w:spacing w:before="240" w:after="0" w:line="320" w:lineRule="atLeast"/>
        <w:jc w:val="both"/>
        <w:rPr>
          <w:sz w:val="24"/>
          <w:szCs w:val="24"/>
        </w:rPr>
      </w:pPr>
      <w:r>
        <w:rPr>
          <w:sz w:val="24"/>
          <w:szCs w:val="24"/>
        </w:rPr>
        <w:t>De igual modo,</w:t>
      </w:r>
      <w:r w:rsidR="00C3708A" w:rsidRPr="000D4E29">
        <w:rPr>
          <w:sz w:val="24"/>
          <w:szCs w:val="24"/>
        </w:rPr>
        <w:t xml:space="preserve"> se a variação fosse de 15%, para baixo dos 100% do original, e de 20% para cima, mantendo-se rigorosamente dentro da definição de genéricos, a mudança de um genérico para outro pode ser responsável por uma variação de 35% da </w:t>
      </w:r>
      <w:proofErr w:type="spellStart"/>
      <w:r w:rsidR="00C3708A" w:rsidRPr="000D4E29">
        <w:rPr>
          <w:sz w:val="24"/>
          <w:szCs w:val="24"/>
        </w:rPr>
        <w:t>biodisponibilidade</w:t>
      </w:r>
      <w:proofErr w:type="spellEnd"/>
      <w:r w:rsidR="00C3708A" w:rsidRPr="000D4E29">
        <w:rPr>
          <w:sz w:val="24"/>
          <w:szCs w:val="24"/>
        </w:rPr>
        <w:t xml:space="preserve"> do princípio activo, com óbvias e inaceitáveis consequências clínicas.</w:t>
      </w:r>
    </w:p>
    <w:p w:rsidR="00317914" w:rsidRPr="000D4E29" w:rsidRDefault="00F253FF" w:rsidP="000D4E29">
      <w:pPr>
        <w:spacing w:before="240" w:after="0" w:line="320" w:lineRule="atLeast"/>
        <w:jc w:val="both"/>
        <w:rPr>
          <w:sz w:val="24"/>
          <w:szCs w:val="24"/>
        </w:rPr>
      </w:pPr>
      <w:r w:rsidRPr="000D4E29">
        <w:rPr>
          <w:sz w:val="24"/>
          <w:szCs w:val="24"/>
        </w:rPr>
        <w:t xml:space="preserve">Imagine-se agora que a situação acima descrita está sempre a acontecer porque o </w:t>
      </w:r>
      <w:r w:rsidR="00CF600B">
        <w:rPr>
          <w:sz w:val="24"/>
          <w:szCs w:val="24"/>
        </w:rPr>
        <w:t xml:space="preserve">doente recorre a diferentes farmácias ou porque o </w:t>
      </w:r>
      <w:r w:rsidRPr="000D4E29">
        <w:rPr>
          <w:sz w:val="24"/>
          <w:szCs w:val="24"/>
        </w:rPr>
        <w:t>farmacêutico</w:t>
      </w:r>
      <w:r w:rsidR="00092FB1" w:rsidRPr="000D4E29">
        <w:rPr>
          <w:sz w:val="24"/>
          <w:szCs w:val="24"/>
        </w:rPr>
        <w:t>, por sucessivos acordos de favoreciment</w:t>
      </w:r>
      <w:r w:rsidR="00CF600B">
        <w:rPr>
          <w:sz w:val="24"/>
          <w:szCs w:val="24"/>
        </w:rPr>
        <w:t>o que vai fazendo com distintas</w:t>
      </w:r>
      <w:r w:rsidR="00092FB1" w:rsidRPr="000D4E29">
        <w:rPr>
          <w:sz w:val="24"/>
          <w:szCs w:val="24"/>
        </w:rPr>
        <w:t xml:space="preserve"> marcas de genéricos, está sempre a mudar a marca ao doente. Provoca-se uma permanente e</w:t>
      </w:r>
      <w:r w:rsidR="00CF600B">
        <w:rPr>
          <w:sz w:val="24"/>
          <w:szCs w:val="24"/>
        </w:rPr>
        <w:t>, nalguns casos,</w:t>
      </w:r>
      <w:r w:rsidR="00092FB1" w:rsidRPr="000D4E29">
        <w:rPr>
          <w:sz w:val="24"/>
          <w:szCs w:val="24"/>
        </w:rPr>
        <w:t xml:space="preserve"> </w:t>
      </w:r>
      <w:r w:rsidR="00C3708A" w:rsidRPr="000D4E29">
        <w:rPr>
          <w:sz w:val="24"/>
          <w:szCs w:val="24"/>
        </w:rPr>
        <w:t>intolerável</w:t>
      </w:r>
      <w:r w:rsidR="00092FB1" w:rsidRPr="000D4E29">
        <w:rPr>
          <w:sz w:val="24"/>
          <w:szCs w:val="24"/>
        </w:rPr>
        <w:t xml:space="preserve"> instabilidade clínica</w:t>
      </w:r>
      <w:r w:rsidR="009E7A7A">
        <w:rPr>
          <w:sz w:val="24"/>
          <w:szCs w:val="24"/>
        </w:rPr>
        <w:t>, com risco de perda ou redução de eficácia ou de ocorrência de toxicidade</w:t>
      </w:r>
      <w:r w:rsidR="00092FB1" w:rsidRPr="000D4E29">
        <w:rPr>
          <w:sz w:val="24"/>
          <w:szCs w:val="24"/>
        </w:rPr>
        <w:t>.</w:t>
      </w:r>
    </w:p>
    <w:p w:rsidR="00317914" w:rsidRPr="000D4E29" w:rsidRDefault="00317914" w:rsidP="000D4E29">
      <w:pPr>
        <w:spacing w:before="240" w:after="0" w:line="320" w:lineRule="atLeast"/>
        <w:jc w:val="both"/>
        <w:rPr>
          <w:sz w:val="24"/>
          <w:szCs w:val="24"/>
        </w:rPr>
      </w:pPr>
      <w:r w:rsidRPr="00AA417A">
        <w:rPr>
          <w:sz w:val="24"/>
          <w:szCs w:val="24"/>
          <w:lang w:val="en-US"/>
        </w:rPr>
        <w:t xml:space="preserve">A forma </w:t>
      </w:r>
      <w:proofErr w:type="spellStart"/>
      <w:r w:rsidRPr="00AA417A">
        <w:rPr>
          <w:sz w:val="24"/>
          <w:szCs w:val="24"/>
          <w:lang w:val="en-US"/>
        </w:rPr>
        <w:t>parcelar</w:t>
      </w:r>
      <w:proofErr w:type="spellEnd"/>
      <w:r w:rsidRPr="00AA417A">
        <w:rPr>
          <w:sz w:val="24"/>
          <w:szCs w:val="24"/>
          <w:lang w:val="en-US"/>
        </w:rPr>
        <w:t xml:space="preserve"> e </w:t>
      </w:r>
      <w:proofErr w:type="spellStart"/>
      <w:r w:rsidRPr="00AA417A">
        <w:rPr>
          <w:sz w:val="24"/>
          <w:szCs w:val="24"/>
          <w:lang w:val="en-US"/>
        </w:rPr>
        <w:t>parcial</w:t>
      </w:r>
      <w:proofErr w:type="spellEnd"/>
      <w:r w:rsidRPr="00AA417A">
        <w:rPr>
          <w:sz w:val="24"/>
          <w:szCs w:val="24"/>
          <w:lang w:val="en-US"/>
        </w:rPr>
        <w:t xml:space="preserve"> </w:t>
      </w:r>
      <w:proofErr w:type="spellStart"/>
      <w:proofErr w:type="gramStart"/>
      <w:r w:rsidRPr="00AA417A">
        <w:rPr>
          <w:sz w:val="24"/>
          <w:szCs w:val="24"/>
          <w:lang w:val="en-US"/>
        </w:rPr>
        <w:t>como</w:t>
      </w:r>
      <w:proofErr w:type="spellEnd"/>
      <w:proofErr w:type="gramEnd"/>
      <w:r w:rsidRPr="00AA417A">
        <w:rPr>
          <w:sz w:val="24"/>
          <w:szCs w:val="24"/>
          <w:lang w:val="en-US"/>
        </w:rPr>
        <w:t xml:space="preserve"> o INFARMED se </w:t>
      </w:r>
      <w:proofErr w:type="spellStart"/>
      <w:r w:rsidRPr="00AA417A">
        <w:rPr>
          <w:sz w:val="24"/>
          <w:szCs w:val="24"/>
          <w:lang w:val="en-US"/>
        </w:rPr>
        <w:t>refere</w:t>
      </w:r>
      <w:proofErr w:type="spellEnd"/>
      <w:r w:rsidRPr="00AA417A">
        <w:rPr>
          <w:sz w:val="24"/>
          <w:szCs w:val="24"/>
          <w:lang w:val="en-US"/>
        </w:rPr>
        <w:t xml:space="preserve"> </w:t>
      </w:r>
      <w:proofErr w:type="spellStart"/>
      <w:r w:rsidRPr="00AA417A">
        <w:rPr>
          <w:sz w:val="24"/>
          <w:szCs w:val="24"/>
          <w:lang w:val="en-US"/>
        </w:rPr>
        <w:t>ao</w:t>
      </w:r>
      <w:proofErr w:type="spellEnd"/>
      <w:r w:rsidRPr="00AA417A">
        <w:rPr>
          <w:sz w:val="24"/>
          <w:szCs w:val="24"/>
          <w:lang w:val="en-US"/>
        </w:rPr>
        <w:t xml:space="preserve"> </w:t>
      </w:r>
      <w:proofErr w:type="spellStart"/>
      <w:r w:rsidRPr="00AA417A">
        <w:rPr>
          <w:sz w:val="24"/>
          <w:szCs w:val="24"/>
          <w:lang w:val="en-US"/>
        </w:rPr>
        <w:t>artigo</w:t>
      </w:r>
      <w:proofErr w:type="spellEnd"/>
      <w:r w:rsidRPr="00AA417A">
        <w:rPr>
          <w:sz w:val="24"/>
          <w:szCs w:val="24"/>
          <w:lang w:val="en-US"/>
        </w:rPr>
        <w:t xml:space="preserve"> “</w:t>
      </w:r>
      <w:r w:rsidRPr="00AA417A">
        <w:rPr>
          <w:rFonts w:cs="GillSans-Bold"/>
          <w:bCs/>
          <w:sz w:val="24"/>
          <w:szCs w:val="24"/>
          <w:lang w:val="en-US"/>
        </w:rPr>
        <w:t>Comparing Generic and Innovator Drugs: A Review of 12 Years of Bioequivalence Data from the United States Food and Drug Administration</w:t>
      </w:r>
      <w:r w:rsidRPr="00AA417A">
        <w:rPr>
          <w:sz w:val="24"/>
          <w:szCs w:val="24"/>
          <w:lang w:val="en-US"/>
        </w:rPr>
        <w:t xml:space="preserve">” é </w:t>
      </w:r>
      <w:proofErr w:type="spellStart"/>
      <w:r w:rsidRPr="00AA417A">
        <w:rPr>
          <w:sz w:val="24"/>
          <w:szCs w:val="24"/>
          <w:lang w:val="en-US"/>
        </w:rPr>
        <w:t>caricata</w:t>
      </w:r>
      <w:proofErr w:type="spellEnd"/>
      <w:r w:rsidR="00177F19" w:rsidRPr="00AA417A">
        <w:rPr>
          <w:sz w:val="24"/>
          <w:szCs w:val="24"/>
          <w:lang w:val="en-US"/>
        </w:rPr>
        <w:t xml:space="preserve"> e </w:t>
      </w:r>
      <w:proofErr w:type="spellStart"/>
      <w:r w:rsidR="00177F19" w:rsidRPr="00AA417A">
        <w:rPr>
          <w:sz w:val="24"/>
          <w:szCs w:val="24"/>
          <w:lang w:val="en-US"/>
        </w:rPr>
        <w:t>chocante</w:t>
      </w:r>
      <w:proofErr w:type="spellEnd"/>
      <w:r w:rsidRPr="00AA417A">
        <w:rPr>
          <w:sz w:val="24"/>
          <w:szCs w:val="24"/>
          <w:lang w:val="en-US"/>
        </w:rPr>
        <w:t xml:space="preserve">. </w:t>
      </w:r>
      <w:r w:rsidRPr="000D4E29">
        <w:rPr>
          <w:sz w:val="24"/>
          <w:szCs w:val="24"/>
        </w:rPr>
        <w:t>Lamentavelmente, o INFARMED apenas leu o resumo, não leu a discussão do artigo. Efectivamente, este é</w:t>
      </w:r>
      <w:r w:rsidR="00092FB1" w:rsidRPr="000D4E29">
        <w:rPr>
          <w:sz w:val="24"/>
          <w:szCs w:val="24"/>
        </w:rPr>
        <w:t xml:space="preserve"> um artigo extraordinário por envolver a análise de 2070 estudos e pelas conclusões a que chega, pare</w:t>
      </w:r>
      <w:r w:rsidR="00177F19" w:rsidRPr="000D4E29">
        <w:rPr>
          <w:sz w:val="24"/>
          <w:szCs w:val="24"/>
        </w:rPr>
        <w:t>cendo que tudo está bem na política e na ciência</w:t>
      </w:r>
      <w:r w:rsidR="00092FB1" w:rsidRPr="000D4E29">
        <w:rPr>
          <w:sz w:val="24"/>
          <w:szCs w:val="24"/>
        </w:rPr>
        <w:t xml:space="preserve"> dos genéricos! </w:t>
      </w:r>
      <w:r w:rsidR="00177F19" w:rsidRPr="000D4E29">
        <w:rPr>
          <w:sz w:val="24"/>
          <w:szCs w:val="24"/>
        </w:rPr>
        <w:t>Pois bem, é mentira e o próprio artigo se desmente.</w:t>
      </w:r>
    </w:p>
    <w:p w:rsidR="00317914" w:rsidRPr="000D4E29" w:rsidRDefault="00177F19" w:rsidP="000D4E29">
      <w:pPr>
        <w:spacing w:before="240" w:after="0" w:line="320" w:lineRule="atLeast"/>
        <w:jc w:val="both"/>
        <w:rPr>
          <w:sz w:val="24"/>
          <w:szCs w:val="24"/>
        </w:rPr>
      </w:pPr>
      <w:r w:rsidRPr="000D4E29">
        <w:rPr>
          <w:sz w:val="24"/>
          <w:szCs w:val="24"/>
        </w:rPr>
        <w:t>Efectivamente,</w:t>
      </w:r>
      <w:r w:rsidR="00092FB1" w:rsidRPr="000D4E29">
        <w:rPr>
          <w:sz w:val="24"/>
          <w:szCs w:val="24"/>
        </w:rPr>
        <w:t xml:space="preserve"> vale a pena ler a discussão toda do artigo, que chama a atenção para as limitações dos estu</w:t>
      </w:r>
      <w:r w:rsidR="00317914" w:rsidRPr="000D4E29">
        <w:rPr>
          <w:sz w:val="24"/>
          <w:szCs w:val="24"/>
        </w:rPr>
        <w:t xml:space="preserve">dos, sobretudo </w:t>
      </w:r>
      <w:r w:rsidR="00092FB1" w:rsidRPr="000D4E29">
        <w:rPr>
          <w:sz w:val="24"/>
          <w:szCs w:val="24"/>
        </w:rPr>
        <w:t xml:space="preserve">a parte que aqui </w:t>
      </w:r>
      <w:r w:rsidR="00317914" w:rsidRPr="000D4E29">
        <w:rPr>
          <w:sz w:val="24"/>
          <w:szCs w:val="24"/>
        </w:rPr>
        <w:t>se transcreve na língua original</w:t>
      </w:r>
      <w:r w:rsidR="00092FB1" w:rsidRPr="000D4E29">
        <w:rPr>
          <w:sz w:val="24"/>
          <w:szCs w:val="24"/>
        </w:rPr>
        <w:t xml:space="preserve"> e que, por si só, torna completamente inequívoca a falácia das conclusões. </w:t>
      </w:r>
    </w:p>
    <w:p w:rsidR="00317914" w:rsidRPr="000D4E29" w:rsidRDefault="00092FB1" w:rsidP="000D4E29">
      <w:pPr>
        <w:spacing w:before="240" w:after="0" w:line="320" w:lineRule="atLeast"/>
        <w:jc w:val="both"/>
        <w:rPr>
          <w:sz w:val="24"/>
          <w:szCs w:val="24"/>
        </w:rPr>
      </w:pPr>
      <w:r w:rsidRPr="000D4E29">
        <w:rPr>
          <w:sz w:val="24"/>
          <w:szCs w:val="24"/>
        </w:rPr>
        <w:t>É que, até muito recentemente, os laboratórios não eram obrigados a reportar os estudos com resultados negativos; logicamente, só reportavam e publicavam os estud</w:t>
      </w:r>
      <w:r w:rsidR="00317914" w:rsidRPr="000D4E29">
        <w:rPr>
          <w:sz w:val="24"/>
          <w:szCs w:val="24"/>
        </w:rPr>
        <w:t>os com resultados favoráveis.</w:t>
      </w:r>
      <w:r w:rsidRPr="000D4E29">
        <w:rPr>
          <w:sz w:val="24"/>
          <w:szCs w:val="24"/>
        </w:rPr>
        <w:t xml:space="preserve"> Por isso, as conclusões deste artigo só podiam ser </w:t>
      </w:r>
      <w:r w:rsidR="00317914" w:rsidRPr="000D4E29">
        <w:rPr>
          <w:sz w:val="24"/>
          <w:szCs w:val="24"/>
        </w:rPr>
        <w:t>excelentes. Todavia, a verdade é que s</w:t>
      </w:r>
      <w:r w:rsidRPr="000D4E29">
        <w:rPr>
          <w:sz w:val="24"/>
          <w:szCs w:val="24"/>
        </w:rPr>
        <w:t xml:space="preserve">ó a partir de 2009 (ver as duas referências bibliográficas), se começou a saber alguma coisa sobre falhas nos estudos de </w:t>
      </w:r>
      <w:proofErr w:type="spellStart"/>
      <w:r w:rsidRPr="000D4E29">
        <w:rPr>
          <w:sz w:val="24"/>
          <w:szCs w:val="24"/>
        </w:rPr>
        <w:t>bioequivalência</w:t>
      </w:r>
      <w:proofErr w:type="spellEnd"/>
      <w:r w:rsidRPr="000D4E29">
        <w:rPr>
          <w:sz w:val="24"/>
          <w:szCs w:val="24"/>
        </w:rPr>
        <w:t>. Até aí todo o sistema era uma completa farsa</w:t>
      </w:r>
      <w:r w:rsidR="004C54F4" w:rsidRPr="000D4E29">
        <w:rPr>
          <w:sz w:val="24"/>
          <w:szCs w:val="24"/>
        </w:rPr>
        <w:t>, pelo que as conclusões do artigo não são técnica nem cientificamente válidas</w:t>
      </w:r>
      <w:r w:rsidRPr="000D4E29">
        <w:rPr>
          <w:sz w:val="24"/>
          <w:szCs w:val="24"/>
        </w:rPr>
        <w:t xml:space="preserve">! </w:t>
      </w:r>
    </w:p>
    <w:p w:rsidR="00317914" w:rsidRPr="000D4E29" w:rsidRDefault="00317914" w:rsidP="000D4E29">
      <w:pPr>
        <w:spacing w:before="240" w:after="0" w:line="320" w:lineRule="atLeast"/>
        <w:jc w:val="both"/>
        <w:rPr>
          <w:sz w:val="24"/>
          <w:szCs w:val="24"/>
        </w:rPr>
      </w:pPr>
      <w:r w:rsidRPr="000D4E29">
        <w:rPr>
          <w:sz w:val="24"/>
          <w:szCs w:val="24"/>
        </w:rPr>
        <w:t>Mesmo a partir dessa data</w:t>
      </w:r>
      <w:r w:rsidR="00092FB1" w:rsidRPr="000D4E29">
        <w:rPr>
          <w:sz w:val="24"/>
          <w:szCs w:val="24"/>
        </w:rPr>
        <w:t xml:space="preserve">, os laboratórios só reportam os estudos negativos se não o poderem evitar… A forma deliberadamente demagógica e pouco rigorosa como o </w:t>
      </w:r>
      <w:r w:rsidR="00092FB1" w:rsidRPr="000D4E29">
        <w:rPr>
          <w:sz w:val="24"/>
          <w:szCs w:val="24"/>
        </w:rPr>
        <w:lastRenderedPageBreak/>
        <w:t>INFARMED e outros se referem a este artigo é uma forte evidência do modo como tentam mistificar e c</w:t>
      </w:r>
      <w:r w:rsidRPr="000D4E29">
        <w:rPr>
          <w:sz w:val="24"/>
          <w:szCs w:val="24"/>
        </w:rPr>
        <w:t>onfundir a realidade dos factos</w:t>
      </w:r>
      <w:r w:rsidR="00177F19" w:rsidRPr="000D4E29">
        <w:rPr>
          <w:sz w:val="24"/>
          <w:szCs w:val="24"/>
        </w:rPr>
        <w:t>, a opinião pública</w:t>
      </w:r>
      <w:r w:rsidRPr="000D4E29">
        <w:rPr>
          <w:sz w:val="24"/>
          <w:szCs w:val="24"/>
        </w:rPr>
        <w:t xml:space="preserve"> e os decisores políticos.</w:t>
      </w:r>
    </w:p>
    <w:p w:rsidR="00317914" w:rsidRPr="000D4E29" w:rsidRDefault="00317914" w:rsidP="000D4E29">
      <w:pPr>
        <w:spacing w:before="240" w:after="0" w:line="320" w:lineRule="atLeast"/>
        <w:jc w:val="both"/>
        <w:rPr>
          <w:sz w:val="24"/>
          <w:szCs w:val="24"/>
        </w:rPr>
      </w:pPr>
      <w:r w:rsidRPr="000D4E29">
        <w:rPr>
          <w:sz w:val="24"/>
          <w:szCs w:val="24"/>
        </w:rPr>
        <w:t>Veja-se o que os próprios autores afirmam:</w:t>
      </w:r>
    </w:p>
    <w:p w:rsidR="00317914" w:rsidRPr="000D4E29" w:rsidRDefault="00317914" w:rsidP="000D4E29">
      <w:pPr>
        <w:spacing w:before="240" w:after="0" w:line="320" w:lineRule="atLeast"/>
        <w:jc w:val="both"/>
        <w:rPr>
          <w:sz w:val="24"/>
          <w:szCs w:val="24"/>
          <w:lang w:val="en-US"/>
        </w:rPr>
      </w:pPr>
      <w:r w:rsidRPr="000D4E29">
        <w:rPr>
          <w:sz w:val="24"/>
          <w:szCs w:val="24"/>
          <w:lang w:val="en-US"/>
        </w:rPr>
        <w:t>“</w:t>
      </w:r>
      <w:r w:rsidR="00092FB1" w:rsidRPr="000D4E29">
        <w:rPr>
          <w:sz w:val="23"/>
          <w:szCs w:val="23"/>
          <w:lang w:val="en-US"/>
        </w:rPr>
        <w:t>Our retrospective analysis has the advantage that it encompassed</w:t>
      </w:r>
      <w:r w:rsidRPr="000D4E29">
        <w:rPr>
          <w:sz w:val="23"/>
          <w:szCs w:val="23"/>
          <w:lang w:val="en-US"/>
        </w:rPr>
        <w:t xml:space="preserve"> </w:t>
      </w:r>
      <w:r w:rsidR="00092FB1" w:rsidRPr="000D4E29">
        <w:rPr>
          <w:sz w:val="23"/>
          <w:szCs w:val="23"/>
          <w:lang w:val="en-US"/>
        </w:rPr>
        <w:t>results of a large number of acceptable bioequivalence</w:t>
      </w:r>
      <w:r w:rsidRPr="000D4E29">
        <w:rPr>
          <w:sz w:val="23"/>
          <w:szCs w:val="23"/>
          <w:lang w:val="en-US"/>
        </w:rPr>
        <w:t xml:space="preserve"> </w:t>
      </w:r>
      <w:r w:rsidR="00092FB1" w:rsidRPr="000D4E29">
        <w:rPr>
          <w:sz w:val="23"/>
          <w:szCs w:val="23"/>
          <w:lang w:val="en-US"/>
        </w:rPr>
        <w:t>studies (2070) submitted to the Agency in support</w:t>
      </w:r>
      <w:r w:rsidRPr="000D4E29">
        <w:rPr>
          <w:sz w:val="23"/>
          <w:szCs w:val="23"/>
          <w:lang w:val="en-US"/>
        </w:rPr>
        <w:t xml:space="preserve"> </w:t>
      </w:r>
      <w:r w:rsidR="00092FB1" w:rsidRPr="000D4E29">
        <w:rPr>
          <w:sz w:val="23"/>
          <w:szCs w:val="23"/>
          <w:lang w:val="en-US"/>
        </w:rPr>
        <w:t>of generic drug products approved over a long time</w:t>
      </w:r>
      <w:r w:rsidRPr="000D4E29">
        <w:rPr>
          <w:sz w:val="23"/>
          <w:szCs w:val="23"/>
          <w:lang w:val="en-US"/>
        </w:rPr>
        <w:t xml:space="preserve"> </w:t>
      </w:r>
      <w:r w:rsidR="00092FB1" w:rsidRPr="000D4E29">
        <w:rPr>
          <w:sz w:val="23"/>
          <w:szCs w:val="23"/>
          <w:lang w:val="en-US"/>
        </w:rPr>
        <w:t>period (12 y). Nonetheless, information is lacking about</w:t>
      </w:r>
      <w:r w:rsidRPr="000D4E29">
        <w:rPr>
          <w:sz w:val="23"/>
          <w:szCs w:val="23"/>
          <w:lang w:val="en-US"/>
        </w:rPr>
        <w:t xml:space="preserve"> </w:t>
      </w:r>
      <w:r w:rsidR="00092FB1" w:rsidRPr="000D4E29">
        <w:rPr>
          <w:sz w:val="23"/>
          <w:szCs w:val="23"/>
          <w:lang w:val="en-US"/>
        </w:rPr>
        <w:t>some factors that could influence the variability of the data</w:t>
      </w:r>
      <w:r w:rsidRPr="000D4E29">
        <w:rPr>
          <w:sz w:val="23"/>
          <w:szCs w:val="23"/>
          <w:lang w:val="en-US"/>
        </w:rPr>
        <w:t xml:space="preserve"> </w:t>
      </w:r>
      <w:r w:rsidR="00092FB1" w:rsidRPr="000D4E29">
        <w:rPr>
          <w:sz w:val="23"/>
          <w:szCs w:val="23"/>
          <w:lang w:val="en-US"/>
        </w:rPr>
        <w:t>collected. First, it is not possible to compare the variability</w:t>
      </w:r>
      <w:r w:rsidRPr="000D4E29">
        <w:rPr>
          <w:sz w:val="23"/>
          <w:szCs w:val="23"/>
          <w:lang w:val="en-US"/>
        </w:rPr>
        <w:t xml:space="preserve"> </w:t>
      </w:r>
      <w:r w:rsidR="00092FB1" w:rsidRPr="000D4E29">
        <w:rPr>
          <w:sz w:val="23"/>
          <w:szCs w:val="23"/>
          <w:lang w:val="en-US"/>
        </w:rPr>
        <w:t>of the data from acceptable bioequivalence studies in our</w:t>
      </w:r>
      <w:r w:rsidRPr="000D4E29">
        <w:rPr>
          <w:sz w:val="23"/>
          <w:szCs w:val="23"/>
          <w:lang w:val="en-US"/>
        </w:rPr>
        <w:t xml:space="preserve"> </w:t>
      </w:r>
      <w:r w:rsidR="00092FB1" w:rsidRPr="000D4E29">
        <w:rPr>
          <w:sz w:val="23"/>
          <w:szCs w:val="23"/>
          <w:lang w:val="en-US"/>
        </w:rPr>
        <w:t>study with the variability of data from unacceptable bioequivalence</w:t>
      </w:r>
      <w:r w:rsidRPr="000D4E29">
        <w:rPr>
          <w:sz w:val="23"/>
          <w:szCs w:val="23"/>
          <w:lang w:val="en-US"/>
        </w:rPr>
        <w:t xml:space="preserve"> </w:t>
      </w:r>
      <w:r w:rsidR="00092FB1" w:rsidRPr="000D4E29">
        <w:rPr>
          <w:sz w:val="23"/>
          <w:szCs w:val="23"/>
          <w:lang w:val="en-US"/>
        </w:rPr>
        <w:t>studies conducted during the same time period.</w:t>
      </w:r>
      <w:r w:rsidRPr="000D4E29">
        <w:rPr>
          <w:sz w:val="23"/>
          <w:szCs w:val="23"/>
          <w:lang w:val="en-US"/>
        </w:rPr>
        <w:t xml:space="preserve"> </w:t>
      </w:r>
      <w:r w:rsidR="00092FB1" w:rsidRPr="000D4E29">
        <w:rPr>
          <w:sz w:val="23"/>
          <w:szCs w:val="23"/>
          <w:lang w:val="en-US"/>
        </w:rPr>
        <w:t>This is because, until recently, ANDA applicants were not</w:t>
      </w:r>
      <w:r w:rsidRPr="000D4E29">
        <w:rPr>
          <w:sz w:val="23"/>
          <w:szCs w:val="23"/>
          <w:lang w:val="en-US"/>
        </w:rPr>
        <w:t xml:space="preserve"> </w:t>
      </w:r>
      <w:r w:rsidR="00092FB1" w:rsidRPr="000D4E29">
        <w:rPr>
          <w:sz w:val="23"/>
          <w:szCs w:val="23"/>
          <w:lang w:val="en-US"/>
        </w:rPr>
        <w:t>required to submit all bioequivalence studies conducted on</w:t>
      </w:r>
      <w:r w:rsidRPr="000D4E29">
        <w:rPr>
          <w:sz w:val="23"/>
          <w:szCs w:val="23"/>
          <w:lang w:val="en-US"/>
        </w:rPr>
        <w:t xml:space="preserve"> </w:t>
      </w:r>
      <w:r w:rsidR="00092FB1" w:rsidRPr="000D4E29">
        <w:rPr>
          <w:sz w:val="23"/>
          <w:szCs w:val="23"/>
          <w:lang w:val="en-US"/>
        </w:rPr>
        <w:t>the final to-be-marketed formulation. The Agency did not</w:t>
      </w:r>
      <w:r w:rsidRPr="000D4E29">
        <w:rPr>
          <w:sz w:val="23"/>
          <w:szCs w:val="23"/>
          <w:lang w:val="en-US"/>
        </w:rPr>
        <w:t xml:space="preserve"> </w:t>
      </w:r>
      <w:r w:rsidR="00092FB1" w:rsidRPr="000D4E29">
        <w:rPr>
          <w:sz w:val="23"/>
          <w:szCs w:val="23"/>
          <w:lang w:val="en-US"/>
        </w:rPr>
        <w:t>begin to receive results from an appreciable number of unacceptable</w:t>
      </w:r>
      <w:r w:rsidRPr="000D4E29">
        <w:rPr>
          <w:sz w:val="23"/>
          <w:szCs w:val="23"/>
          <w:lang w:val="en-US"/>
        </w:rPr>
        <w:t xml:space="preserve"> </w:t>
      </w:r>
      <w:r w:rsidR="00092FB1" w:rsidRPr="000D4E29">
        <w:rPr>
          <w:sz w:val="23"/>
          <w:szCs w:val="23"/>
          <w:lang w:val="en-US"/>
        </w:rPr>
        <w:t>bioequivalence studies until after a Pharmaceutical</w:t>
      </w:r>
      <w:r w:rsidRPr="000D4E29">
        <w:rPr>
          <w:sz w:val="23"/>
          <w:szCs w:val="23"/>
          <w:lang w:val="en-US"/>
        </w:rPr>
        <w:t xml:space="preserve"> </w:t>
      </w:r>
      <w:r w:rsidR="00092FB1" w:rsidRPr="000D4E29">
        <w:rPr>
          <w:sz w:val="23"/>
          <w:szCs w:val="23"/>
          <w:lang w:val="en-US"/>
        </w:rPr>
        <w:t>Sciences Advisory Committee meeting in 2000, at</w:t>
      </w:r>
      <w:r w:rsidRPr="000D4E29">
        <w:rPr>
          <w:sz w:val="23"/>
          <w:szCs w:val="23"/>
          <w:lang w:val="en-US"/>
        </w:rPr>
        <w:t xml:space="preserve"> </w:t>
      </w:r>
      <w:r w:rsidR="00092FB1" w:rsidRPr="000D4E29">
        <w:rPr>
          <w:sz w:val="23"/>
          <w:szCs w:val="23"/>
          <w:lang w:val="en-US"/>
        </w:rPr>
        <w:t>which ANDA applicants were urged to submit the results</w:t>
      </w:r>
      <w:r w:rsidRPr="000D4E29">
        <w:rPr>
          <w:sz w:val="23"/>
          <w:szCs w:val="23"/>
          <w:lang w:val="en-US"/>
        </w:rPr>
        <w:t xml:space="preserve"> </w:t>
      </w:r>
      <w:r w:rsidR="00092FB1" w:rsidRPr="000D4E29">
        <w:rPr>
          <w:sz w:val="23"/>
          <w:szCs w:val="23"/>
          <w:lang w:val="en-US"/>
        </w:rPr>
        <w:t>of all bioequivalence studies on the final generic drug formulations.</w:t>
      </w:r>
      <w:r w:rsidR="00092FB1" w:rsidRPr="000D4E29">
        <w:rPr>
          <w:b/>
          <w:bCs/>
          <w:sz w:val="14"/>
          <w:szCs w:val="14"/>
          <w:lang w:val="en-US"/>
        </w:rPr>
        <w:t>55  </w:t>
      </w:r>
      <w:r w:rsidR="00092FB1" w:rsidRPr="000D4E29">
        <w:rPr>
          <w:sz w:val="23"/>
          <w:szCs w:val="23"/>
          <w:lang w:val="en-US"/>
        </w:rPr>
        <w:t>Thus, although the Office of Generic Drugs</w:t>
      </w:r>
      <w:r w:rsidRPr="000D4E29">
        <w:rPr>
          <w:sz w:val="23"/>
          <w:szCs w:val="23"/>
          <w:lang w:val="en-US"/>
        </w:rPr>
        <w:t xml:space="preserve"> </w:t>
      </w:r>
      <w:r w:rsidR="00092FB1" w:rsidRPr="000D4E29">
        <w:rPr>
          <w:sz w:val="23"/>
          <w:szCs w:val="23"/>
          <w:lang w:val="en-US"/>
        </w:rPr>
        <w:t>has received some data from unacceptable bioequivalence</w:t>
      </w:r>
      <w:r w:rsidRPr="000D4E29">
        <w:rPr>
          <w:sz w:val="23"/>
          <w:szCs w:val="23"/>
          <w:lang w:val="en-US"/>
        </w:rPr>
        <w:t xml:space="preserve"> </w:t>
      </w:r>
      <w:r w:rsidR="00092FB1" w:rsidRPr="000D4E29">
        <w:rPr>
          <w:sz w:val="23"/>
          <w:szCs w:val="23"/>
          <w:lang w:val="en-US"/>
        </w:rPr>
        <w:t>studies, we presently have no way of determining whether</w:t>
      </w:r>
      <w:r w:rsidRPr="000D4E29">
        <w:rPr>
          <w:sz w:val="23"/>
          <w:szCs w:val="23"/>
          <w:lang w:val="en-US"/>
        </w:rPr>
        <w:t xml:space="preserve"> </w:t>
      </w:r>
      <w:r w:rsidR="00092FB1" w:rsidRPr="000D4E29">
        <w:rPr>
          <w:sz w:val="23"/>
          <w:szCs w:val="23"/>
          <w:lang w:val="en-US"/>
        </w:rPr>
        <w:t>these data are from all unacceptable bioequivalence studies</w:t>
      </w:r>
      <w:r w:rsidRPr="000D4E29">
        <w:rPr>
          <w:sz w:val="23"/>
          <w:szCs w:val="23"/>
          <w:lang w:val="en-US"/>
        </w:rPr>
        <w:t xml:space="preserve"> </w:t>
      </w:r>
      <w:r w:rsidR="00092FB1" w:rsidRPr="000D4E29">
        <w:rPr>
          <w:sz w:val="23"/>
          <w:szCs w:val="23"/>
          <w:lang w:val="en-US"/>
        </w:rPr>
        <w:t>or represent a biased sample. Since ANDA applicants are</w:t>
      </w:r>
      <w:r w:rsidRPr="000D4E29">
        <w:rPr>
          <w:sz w:val="23"/>
          <w:szCs w:val="23"/>
          <w:lang w:val="en-US"/>
        </w:rPr>
        <w:t xml:space="preserve"> </w:t>
      </w:r>
      <w:r w:rsidR="00092FB1" w:rsidRPr="000D4E29">
        <w:rPr>
          <w:sz w:val="23"/>
          <w:szCs w:val="23"/>
          <w:lang w:val="en-US"/>
        </w:rPr>
        <w:t>now required to submit data from all bioequivalence studies on a drug product formulation submitted for approval</w:t>
      </w:r>
      <w:proofErr w:type="gramStart"/>
      <w:r w:rsidR="00092FB1" w:rsidRPr="000D4E29">
        <w:rPr>
          <w:sz w:val="23"/>
          <w:szCs w:val="23"/>
          <w:lang w:val="en-US"/>
        </w:rPr>
        <w:t>,</w:t>
      </w:r>
      <w:r w:rsidR="00092FB1" w:rsidRPr="000D4E29">
        <w:rPr>
          <w:b/>
          <w:bCs/>
          <w:sz w:val="14"/>
          <w:szCs w:val="14"/>
          <w:lang w:val="en-US"/>
        </w:rPr>
        <w:t>45</w:t>
      </w:r>
      <w:proofErr w:type="gramEnd"/>
      <w:r w:rsidRPr="000D4E29">
        <w:rPr>
          <w:sz w:val="23"/>
          <w:szCs w:val="23"/>
          <w:lang w:val="en-US"/>
        </w:rPr>
        <w:t xml:space="preserve"> </w:t>
      </w:r>
      <w:r w:rsidR="00092FB1" w:rsidRPr="000D4E29">
        <w:rPr>
          <w:sz w:val="23"/>
          <w:szCs w:val="23"/>
          <w:lang w:val="en-US"/>
        </w:rPr>
        <w:t>it will be possible for the FDA to conduct comparative</w:t>
      </w:r>
      <w:r w:rsidRPr="000D4E29">
        <w:rPr>
          <w:sz w:val="23"/>
          <w:szCs w:val="23"/>
          <w:lang w:val="en-US"/>
        </w:rPr>
        <w:t xml:space="preserve"> </w:t>
      </w:r>
      <w:r w:rsidR="00092FB1" w:rsidRPr="000D4E29">
        <w:rPr>
          <w:sz w:val="23"/>
          <w:szCs w:val="23"/>
          <w:lang w:val="en-US"/>
        </w:rPr>
        <w:t>analyses of acceptable and unacceptable bioequivalence</w:t>
      </w:r>
      <w:r w:rsidRPr="000D4E29">
        <w:rPr>
          <w:sz w:val="23"/>
          <w:szCs w:val="23"/>
          <w:lang w:val="en-US"/>
        </w:rPr>
        <w:t xml:space="preserve"> </w:t>
      </w:r>
      <w:r w:rsidR="00092FB1" w:rsidRPr="000D4E29">
        <w:rPr>
          <w:sz w:val="23"/>
          <w:szCs w:val="23"/>
          <w:lang w:val="en-US"/>
        </w:rPr>
        <w:t>study data.</w:t>
      </w:r>
      <w:r w:rsidRPr="000D4E29">
        <w:rPr>
          <w:sz w:val="23"/>
          <w:szCs w:val="23"/>
          <w:lang w:val="en-US"/>
        </w:rPr>
        <w:t>”</w:t>
      </w:r>
    </w:p>
    <w:p w:rsidR="00317914" w:rsidRPr="000D4E29" w:rsidRDefault="00092FB1" w:rsidP="000D4E29">
      <w:pPr>
        <w:spacing w:before="240" w:after="0" w:line="320" w:lineRule="atLeast"/>
        <w:jc w:val="both"/>
        <w:rPr>
          <w:sz w:val="24"/>
          <w:szCs w:val="24"/>
          <w:lang w:val="en-US"/>
        </w:rPr>
      </w:pPr>
      <w:r w:rsidRPr="000D4E29">
        <w:rPr>
          <w:sz w:val="18"/>
          <w:szCs w:val="18"/>
          <w:lang w:val="en-US"/>
        </w:rPr>
        <w:t xml:space="preserve">55. Conner DP. </w:t>
      </w:r>
      <w:proofErr w:type="gramStart"/>
      <w:r w:rsidRPr="000D4E29">
        <w:rPr>
          <w:sz w:val="18"/>
          <w:szCs w:val="18"/>
          <w:lang w:val="en-US"/>
        </w:rPr>
        <w:t>Failed bioequivalence studies.</w:t>
      </w:r>
      <w:proofErr w:type="gramEnd"/>
      <w:r w:rsidRPr="000D4E29">
        <w:rPr>
          <w:sz w:val="18"/>
          <w:szCs w:val="18"/>
          <w:lang w:val="en-US"/>
        </w:rPr>
        <w:t xml:space="preserve"> Advisory Committee for</w:t>
      </w:r>
      <w:r w:rsidR="00317914" w:rsidRPr="000D4E29">
        <w:rPr>
          <w:sz w:val="23"/>
          <w:szCs w:val="23"/>
          <w:lang w:val="en-US"/>
        </w:rPr>
        <w:t xml:space="preserve"> </w:t>
      </w:r>
      <w:r w:rsidRPr="000D4E29">
        <w:rPr>
          <w:sz w:val="18"/>
          <w:szCs w:val="18"/>
          <w:lang w:val="en-US"/>
        </w:rPr>
        <w:t>Pharmaceutical Sciences Meeting Transcript, November 16, 2000. www.fda.gov/ohrms/dockets/ac/00/transcripts/3657t2.pdf (accessed 2009 Aug 2).</w:t>
      </w:r>
    </w:p>
    <w:p w:rsidR="00317914" w:rsidRPr="000D4E29" w:rsidRDefault="00092FB1" w:rsidP="000D4E29">
      <w:pPr>
        <w:spacing w:before="240" w:after="0" w:line="320" w:lineRule="atLeast"/>
        <w:jc w:val="both"/>
        <w:rPr>
          <w:sz w:val="24"/>
          <w:szCs w:val="24"/>
        </w:rPr>
      </w:pPr>
      <w:r w:rsidRPr="000D4E29">
        <w:rPr>
          <w:sz w:val="18"/>
          <w:szCs w:val="18"/>
          <w:lang w:val="en-US"/>
        </w:rPr>
        <w:t>45. US Department of Health and Human Services, Food and Drug Administration.</w:t>
      </w:r>
      <w:r w:rsidR="00317914" w:rsidRPr="000D4E29">
        <w:rPr>
          <w:sz w:val="23"/>
          <w:szCs w:val="23"/>
          <w:lang w:val="en-US"/>
        </w:rPr>
        <w:t xml:space="preserve"> </w:t>
      </w:r>
      <w:proofErr w:type="spellStart"/>
      <w:r w:rsidRPr="000D4E29">
        <w:rPr>
          <w:sz w:val="18"/>
          <w:szCs w:val="18"/>
        </w:rPr>
        <w:t>Fed</w:t>
      </w:r>
      <w:proofErr w:type="spellEnd"/>
      <w:r w:rsidRPr="000D4E29">
        <w:rPr>
          <w:sz w:val="18"/>
          <w:szCs w:val="18"/>
        </w:rPr>
        <w:t xml:space="preserve"> </w:t>
      </w:r>
      <w:proofErr w:type="spellStart"/>
      <w:r w:rsidRPr="000D4E29">
        <w:rPr>
          <w:sz w:val="18"/>
          <w:szCs w:val="18"/>
        </w:rPr>
        <w:t>Regist</w:t>
      </w:r>
      <w:proofErr w:type="spellEnd"/>
      <w:r w:rsidRPr="000D4E29">
        <w:rPr>
          <w:sz w:val="18"/>
          <w:szCs w:val="18"/>
        </w:rPr>
        <w:t xml:space="preserve"> 2009;74:2849-62.</w:t>
      </w:r>
    </w:p>
    <w:p w:rsidR="006874AD" w:rsidRPr="000D4E29" w:rsidRDefault="00177F19" w:rsidP="000D4E29">
      <w:pPr>
        <w:spacing w:before="240" w:after="0" w:line="320" w:lineRule="atLeast"/>
        <w:jc w:val="both"/>
        <w:rPr>
          <w:sz w:val="24"/>
          <w:szCs w:val="24"/>
        </w:rPr>
      </w:pPr>
      <w:r w:rsidRPr="000D4E29">
        <w:rPr>
          <w:sz w:val="24"/>
          <w:szCs w:val="24"/>
        </w:rPr>
        <w:t>Deve</w:t>
      </w:r>
      <w:r w:rsidR="00083698" w:rsidRPr="000D4E29">
        <w:rPr>
          <w:sz w:val="24"/>
          <w:szCs w:val="24"/>
        </w:rPr>
        <w:t xml:space="preserve"> também salientar-se </w:t>
      </w:r>
      <w:r w:rsidR="00BF629F" w:rsidRPr="000D4E29">
        <w:rPr>
          <w:sz w:val="24"/>
          <w:szCs w:val="24"/>
        </w:rPr>
        <w:t>que o intervalo de confiança a 9</w:t>
      </w:r>
      <w:r w:rsidR="00083698" w:rsidRPr="000D4E29">
        <w:rPr>
          <w:sz w:val="24"/>
          <w:szCs w:val="24"/>
        </w:rPr>
        <w:t xml:space="preserve">0% é um intervalo deliberadamente mais alargado para </w:t>
      </w:r>
      <w:r w:rsidR="006874AD" w:rsidRPr="000D4E29">
        <w:rPr>
          <w:sz w:val="24"/>
          <w:szCs w:val="24"/>
        </w:rPr>
        <w:t xml:space="preserve">facilitar o cumprimento dos critérios de definição </w:t>
      </w:r>
      <w:r w:rsidRPr="000D4E29">
        <w:rPr>
          <w:sz w:val="24"/>
          <w:szCs w:val="24"/>
        </w:rPr>
        <w:t xml:space="preserve">e aprovação </w:t>
      </w:r>
      <w:r w:rsidR="006874AD" w:rsidRPr="000D4E29">
        <w:rPr>
          <w:sz w:val="24"/>
          <w:szCs w:val="24"/>
        </w:rPr>
        <w:t xml:space="preserve">de produto genérico. Um intervalo de confiança de </w:t>
      </w:r>
      <w:r w:rsidR="00BF629F" w:rsidRPr="000D4E29">
        <w:rPr>
          <w:sz w:val="24"/>
          <w:szCs w:val="24"/>
        </w:rPr>
        <w:t>9</w:t>
      </w:r>
      <w:r w:rsidR="006874AD" w:rsidRPr="000D4E29">
        <w:rPr>
          <w:sz w:val="24"/>
          <w:szCs w:val="24"/>
        </w:rPr>
        <w:t xml:space="preserve">5%, como é usado </w:t>
      </w:r>
      <w:r w:rsidR="00BF629F" w:rsidRPr="000D4E29">
        <w:rPr>
          <w:sz w:val="24"/>
          <w:szCs w:val="24"/>
        </w:rPr>
        <w:t xml:space="preserve">habitualmente </w:t>
      </w:r>
      <w:r w:rsidR="006874AD" w:rsidRPr="000D4E29">
        <w:rPr>
          <w:sz w:val="24"/>
          <w:szCs w:val="24"/>
        </w:rPr>
        <w:t>em estatística</w:t>
      </w:r>
      <w:r w:rsidRPr="000D4E29">
        <w:rPr>
          <w:sz w:val="24"/>
          <w:szCs w:val="24"/>
        </w:rPr>
        <w:t xml:space="preserve"> médica</w:t>
      </w:r>
      <w:r w:rsidR="006874AD" w:rsidRPr="000D4E29">
        <w:rPr>
          <w:sz w:val="24"/>
          <w:szCs w:val="24"/>
        </w:rPr>
        <w:t>, porque exige um maior rigor e um menor grau de erro, implicaria que o intervalo de confiança seria mais alargado, pelo que haveria mais produtos</w:t>
      </w:r>
      <w:r w:rsidR="00AC1F4F" w:rsidRPr="000D4E29">
        <w:rPr>
          <w:sz w:val="24"/>
          <w:szCs w:val="24"/>
        </w:rPr>
        <w:t xml:space="preserve"> que não poderiam ser aceites como genéricos. </w:t>
      </w:r>
      <w:r w:rsidR="007B48DE" w:rsidRPr="000D4E29">
        <w:rPr>
          <w:sz w:val="24"/>
          <w:szCs w:val="24"/>
        </w:rPr>
        <w:t xml:space="preserve">Foi o legislador que optou deliberadamente por diminuir o grau de “confiança” dos genéricos. </w:t>
      </w:r>
      <w:r w:rsidR="00AC1F4F" w:rsidRPr="000D4E29">
        <w:rPr>
          <w:sz w:val="24"/>
          <w:szCs w:val="24"/>
        </w:rPr>
        <w:t>Em todo este processo</w:t>
      </w:r>
      <w:r w:rsidR="00BF629F" w:rsidRPr="000D4E29">
        <w:rPr>
          <w:sz w:val="24"/>
          <w:szCs w:val="24"/>
        </w:rPr>
        <w:t xml:space="preserve"> se nota a vontade de facilitar, </w:t>
      </w:r>
      <w:r w:rsidRPr="000D4E29">
        <w:rPr>
          <w:sz w:val="24"/>
          <w:szCs w:val="24"/>
        </w:rPr>
        <w:t xml:space="preserve">independentemente das consequências para os doentes, </w:t>
      </w:r>
      <w:r w:rsidR="00BF629F" w:rsidRPr="000D4E29">
        <w:rPr>
          <w:sz w:val="24"/>
          <w:szCs w:val="24"/>
        </w:rPr>
        <w:t>quando devia ser exactamente ao contrário.</w:t>
      </w:r>
    </w:p>
    <w:p w:rsidR="00177F19" w:rsidRPr="000D4E29" w:rsidRDefault="00177F19" w:rsidP="000D4E29">
      <w:pPr>
        <w:spacing w:before="240" w:after="0" w:line="320" w:lineRule="atLeast"/>
        <w:jc w:val="both"/>
        <w:rPr>
          <w:sz w:val="24"/>
          <w:szCs w:val="24"/>
        </w:rPr>
      </w:pPr>
      <w:r w:rsidRPr="000D4E29">
        <w:rPr>
          <w:sz w:val="24"/>
          <w:szCs w:val="24"/>
        </w:rPr>
        <w:t xml:space="preserve">É interessante e não podemos deixar de salientar que a variação admitida entre diferentes lotes do mesmo medicamento, </w:t>
      </w:r>
      <w:r w:rsidR="00EC2CD6">
        <w:rPr>
          <w:sz w:val="24"/>
          <w:szCs w:val="24"/>
        </w:rPr>
        <w:t xml:space="preserve">de doseamento do princípio activo </w:t>
      </w:r>
      <w:proofErr w:type="spellStart"/>
      <w:proofErr w:type="gramStart"/>
      <w:r w:rsidR="00EC2CD6" w:rsidRPr="00EC2CD6">
        <w:rPr>
          <w:i/>
          <w:sz w:val="24"/>
          <w:szCs w:val="24"/>
        </w:rPr>
        <w:t>in</w:t>
      </w:r>
      <w:proofErr w:type="spellEnd"/>
      <w:r w:rsidR="00EC2CD6" w:rsidRPr="00EC2CD6">
        <w:rPr>
          <w:i/>
          <w:sz w:val="24"/>
          <w:szCs w:val="24"/>
        </w:rPr>
        <w:t xml:space="preserve"> </w:t>
      </w:r>
      <w:proofErr w:type="spellStart"/>
      <w:r w:rsidR="00EC2CD6" w:rsidRPr="00EC2CD6">
        <w:rPr>
          <w:i/>
          <w:sz w:val="24"/>
          <w:szCs w:val="24"/>
        </w:rPr>
        <w:t>vitro</w:t>
      </w:r>
      <w:proofErr w:type="spellEnd"/>
      <w:proofErr w:type="gramEnd"/>
      <w:r w:rsidR="00EC2CD6">
        <w:rPr>
          <w:sz w:val="24"/>
          <w:szCs w:val="24"/>
        </w:rPr>
        <w:t xml:space="preserve">, </w:t>
      </w:r>
      <w:r w:rsidRPr="000D4E29">
        <w:rPr>
          <w:sz w:val="24"/>
          <w:szCs w:val="24"/>
        </w:rPr>
        <w:t xml:space="preserve">seja genérico ou de marca, é de ± 5%. </w:t>
      </w:r>
      <w:r w:rsidR="00EC2CD6">
        <w:rPr>
          <w:sz w:val="24"/>
          <w:szCs w:val="24"/>
        </w:rPr>
        <w:t xml:space="preserve">Desafio o INFARMED a demonstrar qual é a relação transposta deste doseamento para as concentrações </w:t>
      </w:r>
      <w:r w:rsidRPr="000D4E29">
        <w:rPr>
          <w:sz w:val="24"/>
          <w:szCs w:val="24"/>
        </w:rPr>
        <w:t xml:space="preserve">na comparação dos genéricos com o produto original, </w:t>
      </w:r>
      <w:r w:rsidR="00EC2CD6">
        <w:rPr>
          <w:sz w:val="24"/>
          <w:szCs w:val="24"/>
        </w:rPr>
        <w:t>onde se permite</w:t>
      </w:r>
      <w:r w:rsidRPr="000D4E29">
        <w:rPr>
          <w:sz w:val="24"/>
          <w:szCs w:val="24"/>
        </w:rPr>
        <w:t xml:space="preserve"> uma variação muito superior, de menos 20% a mais 25%, considerando o intervalo de confiança a 90%. É mais do que óbvio que os genéricos não são </w:t>
      </w:r>
      <w:r w:rsidR="00EC2CD6">
        <w:rPr>
          <w:sz w:val="24"/>
          <w:szCs w:val="24"/>
        </w:rPr>
        <w:t>todos iguais</w:t>
      </w:r>
      <w:r w:rsidRPr="000D4E29">
        <w:rPr>
          <w:sz w:val="24"/>
          <w:szCs w:val="24"/>
        </w:rPr>
        <w:t>.</w:t>
      </w:r>
    </w:p>
    <w:p w:rsidR="007B48DE" w:rsidRPr="000D4E29" w:rsidRDefault="009D735F" w:rsidP="000D4E29">
      <w:pPr>
        <w:spacing w:before="240" w:after="0" w:line="320" w:lineRule="atLeast"/>
        <w:jc w:val="both"/>
        <w:rPr>
          <w:sz w:val="24"/>
          <w:szCs w:val="24"/>
        </w:rPr>
      </w:pPr>
      <w:r w:rsidRPr="000D4E29">
        <w:rPr>
          <w:sz w:val="24"/>
          <w:szCs w:val="24"/>
        </w:rPr>
        <w:lastRenderedPageBreak/>
        <w:t xml:space="preserve">Reforçamos os conceitos longamente explicados pelo Prof. Frederico Teixeira na Comissão de Saúde da Assembleia e que estão integralmente correctos e cientificamente inatacáveis. O Prof. Frederico Teixeira é Farmacologista Clínico e Professor Jubilado de Farmacologia e Terapêutica. A </w:t>
      </w:r>
      <w:r w:rsidR="00B64DAE" w:rsidRPr="000D4E29">
        <w:rPr>
          <w:sz w:val="24"/>
          <w:szCs w:val="24"/>
        </w:rPr>
        <w:t xml:space="preserve">quaisquer </w:t>
      </w:r>
      <w:r w:rsidRPr="000D4E29">
        <w:rPr>
          <w:sz w:val="24"/>
          <w:szCs w:val="24"/>
        </w:rPr>
        <w:t>pessoas sem o mesmo nível de formação não reconhecemos capacidade e conhecimento suficientes para o criticar ou colocar em causa.</w:t>
      </w:r>
    </w:p>
    <w:p w:rsidR="00040A1F" w:rsidRPr="000D4E29" w:rsidRDefault="00923890" w:rsidP="000D4E29">
      <w:pPr>
        <w:spacing w:before="240" w:after="0" w:line="320" w:lineRule="atLeast"/>
        <w:jc w:val="both"/>
        <w:rPr>
          <w:sz w:val="24"/>
          <w:szCs w:val="24"/>
        </w:rPr>
      </w:pPr>
      <w:r w:rsidRPr="000D4E29">
        <w:rPr>
          <w:sz w:val="24"/>
          <w:szCs w:val="24"/>
        </w:rPr>
        <w:t>Mais uma vez</w:t>
      </w:r>
      <w:r w:rsidR="00CF600B">
        <w:rPr>
          <w:sz w:val="24"/>
          <w:szCs w:val="24"/>
        </w:rPr>
        <w:t xml:space="preserve">, conforme referimos </w:t>
      </w:r>
      <w:proofErr w:type="gramStart"/>
      <w:r w:rsidR="00CF600B">
        <w:rPr>
          <w:sz w:val="24"/>
          <w:szCs w:val="24"/>
        </w:rPr>
        <w:t>no nosso documentos</w:t>
      </w:r>
      <w:proofErr w:type="gramEnd"/>
      <w:r w:rsidR="00CF600B">
        <w:rPr>
          <w:sz w:val="24"/>
          <w:szCs w:val="24"/>
        </w:rPr>
        <w:t xml:space="preserve"> anterior,</w:t>
      </w:r>
      <w:r w:rsidRPr="000D4E29">
        <w:rPr>
          <w:sz w:val="24"/>
          <w:szCs w:val="24"/>
        </w:rPr>
        <w:t xml:space="preserve"> reafirmamos que os genéricos de medicamentos de janela terapêutica estreita que foram aprovados antes da revisão das </w:t>
      </w:r>
      <w:proofErr w:type="spellStart"/>
      <w:r w:rsidRPr="00307A16">
        <w:rPr>
          <w:i/>
          <w:sz w:val="24"/>
          <w:szCs w:val="24"/>
        </w:rPr>
        <w:t>guidelines</w:t>
      </w:r>
      <w:proofErr w:type="spellEnd"/>
      <w:r w:rsidRPr="000D4E29">
        <w:rPr>
          <w:sz w:val="24"/>
          <w:szCs w:val="24"/>
        </w:rPr>
        <w:t xml:space="preserve"> tornarem a sua aprovação mais exigente continuam a ser </w:t>
      </w:r>
      <w:r w:rsidR="00177F19" w:rsidRPr="000D4E29">
        <w:rPr>
          <w:sz w:val="24"/>
          <w:szCs w:val="24"/>
        </w:rPr>
        <w:t xml:space="preserve">livremente </w:t>
      </w:r>
      <w:r w:rsidRPr="000D4E29">
        <w:rPr>
          <w:sz w:val="24"/>
          <w:szCs w:val="24"/>
        </w:rPr>
        <w:t>comercializados, revelando o pouco rigor destes processos.</w:t>
      </w:r>
      <w:r w:rsidR="00040A1F" w:rsidRPr="000D4E29">
        <w:rPr>
          <w:sz w:val="24"/>
          <w:szCs w:val="24"/>
        </w:rPr>
        <w:t xml:space="preserve"> Com consequências para os doentes, como atestam vários artigos.</w:t>
      </w:r>
    </w:p>
    <w:p w:rsidR="00200CCF" w:rsidRPr="000D4E29" w:rsidRDefault="00177F19" w:rsidP="000D4E29">
      <w:pPr>
        <w:spacing w:before="240" w:after="0" w:line="320" w:lineRule="atLeast"/>
        <w:jc w:val="both"/>
        <w:rPr>
          <w:sz w:val="24"/>
          <w:szCs w:val="24"/>
        </w:rPr>
      </w:pPr>
      <w:r w:rsidRPr="000D4E29">
        <w:rPr>
          <w:sz w:val="24"/>
          <w:szCs w:val="24"/>
        </w:rPr>
        <w:t>De facto, n</w:t>
      </w:r>
      <w:r w:rsidR="00923890" w:rsidRPr="000D4E29">
        <w:rPr>
          <w:sz w:val="24"/>
          <w:szCs w:val="24"/>
        </w:rPr>
        <w:t>ão é verdade</w:t>
      </w:r>
      <w:r w:rsidR="00CF4E10" w:rsidRPr="000D4E29">
        <w:rPr>
          <w:sz w:val="24"/>
          <w:szCs w:val="24"/>
        </w:rPr>
        <w:t xml:space="preserve">, e estranhamos </w:t>
      </w:r>
      <w:r w:rsidRPr="000D4E29">
        <w:rPr>
          <w:sz w:val="24"/>
          <w:szCs w:val="24"/>
        </w:rPr>
        <w:t xml:space="preserve">indignadamente </w:t>
      </w:r>
      <w:r w:rsidR="00CF4E10" w:rsidRPr="000D4E29">
        <w:rPr>
          <w:sz w:val="24"/>
          <w:szCs w:val="24"/>
        </w:rPr>
        <w:t>a afirmação</w:t>
      </w:r>
      <w:r w:rsidRPr="000D4E29">
        <w:rPr>
          <w:sz w:val="24"/>
          <w:szCs w:val="24"/>
        </w:rPr>
        <w:t xml:space="preserve"> feita pelo Prof Jorge Torgal</w:t>
      </w:r>
      <w:r w:rsidR="00CF4E10" w:rsidRPr="000D4E29">
        <w:rPr>
          <w:sz w:val="24"/>
          <w:szCs w:val="24"/>
        </w:rPr>
        <w:t>,</w:t>
      </w:r>
      <w:r w:rsidR="00923890" w:rsidRPr="000D4E29">
        <w:rPr>
          <w:sz w:val="24"/>
          <w:szCs w:val="24"/>
        </w:rPr>
        <w:t xml:space="preserve"> que não haja consequências</w:t>
      </w:r>
      <w:r w:rsidR="00C3708A" w:rsidRPr="000D4E29">
        <w:rPr>
          <w:sz w:val="24"/>
          <w:szCs w:val="24"/>
        </w:rPr>
        <w:t xml:space="preserve"> negativas </w:t>
      </w:r>
      <w:r w:rsidR="00EC4A4F" w:rsidRPr="000D4E29">
        <w:rPr>
          <w:sz w:val="24"/>
          <w:szCs w:val="24"/>
        </w:rPr>
        <w:t xml:space="preserve">para </w:t>
      </w:r>
      <w:proofErr w:type="gramStart"/>
      <w:r w:rsidR="00EC4A4F" w:rsidRPr="000D4E29">
        <w:rPr>
          <w:sz w:val="24"/>
          <w:szCs w:val="24"/>
        </w:rPr>
        <w:t xml:space="preserve">os doentes </w:t>
      </w:r>
      <w:r w:rsidR="00C3708A" w:rsidRPr="000D4E29">
        <w:rPr>
          <w:sz w:val="24"/>
          <w:szCs w:val="24"/>
        </w:rPr>
        <w:t>publicadas</w:t>
      </w:r>
      <w:proofErr w:type="gramEnd"/>
      <w:r w:rsidR="00C3708A" w:rsidRPr="000D4E29">
        <w:rPr>
          <w:sz w:val="24"/>
          <w:szCs w:val="24"/>
        </w:rPr>
        <w:t xml:space="preserve"> na literatura</w:t>
      </w:r>
      <w:r w:rsidR="00EC4A4F" w:rsidRPr="000D4E29">
        <w:rPr>
          <w:sz w:val="24"/>
          <w:szCs w:val="24"/>
        </w:rPr>
        <w:t xml:space="preserve"> médica relativamente à substituição de genéricos. Basta consultar a base de dados da PUBMED para se encontrarem várias publicações</w:t>
      </w:r>
      <w:r w:rsidR="00CF4E10" w:rsidRPr="000D4E29">
        <w:rPr>
          <w:sz w:val="24"/>
          <w:szCs w:val="24"/>
        </w:rPr>
        <w:t>, das quais citamos aqui algumas:</w:t>
      </w:r>
    </w:p>
    <w:p w:rsidR="00200CCF" w:rsidRPr="000D4E29" w:rsidRDefault="00CF4E10" w:rsidP="000D4E29">
      <w:pPr>
        <w:spacing w:before="240" w:after="0" w:line="320" w:lineRule="atLeast"/>
        <w:jc w:val="both"/>
        <w:rPr>
          <w:sz w:val="24"/>
          <w:szCs w:val="24"/>
          <w:lang w:val="en-US"/>
        </w:rPr>
      </w:pPr>
      <w:proofErr w:type="gramStart"/>
      <w:r w:rsidRPr="000D4E29">
        <w:rPr>
          <w:sz w:val="24"/>
          <w:szCs w:val="24"/>
          <w:lang w:val="en-US"/>
        </w:rPr>
        <w:t xml:space="preserve">- </w:t>
      </w:r>
      <w:r w:rsidRPr="000D4E29">
        <w:rPr>
          <w:rFonts w:cs="Times-Roman"/>
          <w:sz w:val="24"/>
          <w:szCs w:val="24"/>
          <w:lang w:val="en-US"/>
        </w:rPr>
        <w:t xml:space="preserve">Frederick </w:t>
      </w:r>
      <w:proofErr w:type="spellStart"/>
      <w:r w:rsidRPr="000D4E29">
        <w:rPr>
          <w:rFonts w:cs="Times-Roman"/>
          <w:sz w:val="24"/>
          <w:szCs w:val="24"/>
          <w:lang w:val="en-US"/>
        </w:rPr>
        <w:t>Andermann</w:t>
      </w:r>
      <w:proofErr w:type="spellEnd"/>
      <w:r w:rsidRPr="000D4E29">
        <w:rPr>
          <w:rFonts w:cs="Times-Roman"/>
          <w:sz w:val="24"/>
          <w:szCs w:val="24"/>
          <w:lang w:val="en-US"/>
        </w:rPr>
        <w:t xml:space="preserve">, Mei </w:t>
      </w:r>
      <w:proofErr w:type="spellStart"/>
      <w:r w:rsidRPr="000D4E29">
        <w:rPr>
          <w:rFonts w:cs="Times-Roman"/>
          <w:sz w:val="24"/>
          <w:szCs w:val="24"/>
          <w:lang w:val="en-US"/>
        </w:rPr>
        <w:t>Sheng</w:t>
      </w:r>
      <w:proofErr w:type="spellEnd"/>
      <w:r w:rsidRPr="000D4E29">
        <w:rPr>
          <w:rFonts w:cs="Times-Roman"/>
          <w:sz w:val="24"/>
          <w:szCs w:val="24"/>
          <w:lang w:val="en-US"/>
        </w:rPr>
        <w:t xml:space="preserve"> Duh, Antoine </w:t>
      </w:r>
      <w:proofErr w:type="spellStart"/>
      <w:r w:rsidRPr="000D4E29">
        <w:rPr>
          <w:rFonts w:cs="Times-Roman"/>
          <w:sz w:val="24"/>
          <w:szCs w:val="24"/>
          <w:lang w:val="en-US"/>
        </w:rPr>
        <w:t>Gosselin</w:t>
      </w:r>
      <w:proofErr w:type="spellEnd"/>
      <w:r w:rsidRPr="000D4E29">
        <w:rPr>
          <w:rFonts w:cs="Times-Roman"/>
          <w:sz w:val="24"/>
          <w:szCs w:val="24"/>
          <w:lang w:val="en-US"/>
        </w:rPr>
        <w:t xml:space="preserve">, Pierre Emmanuel </w:t>
      </w:r>
      <w:proofErr w:type="spellStart"/>
      <w:r w:rsidRPr="000D4E29">
        <w:rPr>
          <w:rFonts w:cs="Times-Roman"/>
          <w:sz w:val="24"/>
          <w:szCs w:val="24"/>
          <w:lang w:val="en-US"/>
        </w:rPr>
        <w:t>Paradis</w:t>
      </w:r>
      <w:proofErr w:type="spellEnd"/>
      <w:r w:rsidRPr="000D4E29">
        <w:rPr>
          <w:sz w:val="24"/>
          <w:szCs w:val="24"/>
          <w:lang w:val="en-US"/>
        </w:rPr>
        <w:t>.</w:t>
      </w:r>
      <w:proofErr w:type="gramEnd"/>
      <w:r w:rsidRPr="000D4E29">
        <w:rPr>
          <w:sz w:val="24"/>
          <w:szCs w:val="24"/>
          <w:lang w:val="en-US"/>
        </w:rPr>
        <w:t xml:space="preserve"> “</w:t>
      </w:r>
      <w:r w:rsidRPr="000D4E29">
        <w:rPr>
          <w:rFonts w:cs="Times-Roman"/>
          <w:sz w:val="24"/>
          <w:szCs w:val="24"/>
          <w:lang w:val="en-US"/>
        </w:rPr>
        <w:t>Compulsory Generic Switching of Antiepileptic Drugs: High Switchback Rates to Branded Compounds Compared with Other Drug Classes</w:t>
      </w:r>
      <w:r w:rsidRPr="000D4E29">
        <w:rPr>
          <w:sz w:val="24"/>
          <w:szCs w:val="24"/>
          <w:lang w:val="en-US"/>
        </w:rPr>
        <w:t xml:space="preserve">”. </w:t>
      </w:r>
      <w:proofErr w:type="spellStart"/>
      <w:r w:rsidRPr="000D4E29">
        <w:rPr>
          <w:rFonts w:cs="Times-Italic"/>
          <w:i/>
          <w:iCs/>
          <w:sz w:val="24"/>
          <w:szCs w:val="24"/>
          <w:lang w:val="en-US"/>
        </w:rPr>
        <w:t>Epilepsia</w:t>
      </w:r>
      <w:proofErr w:type="spellEnd"/>
      <w:r w:rsidRPr="000D4E29">
        <w:rPr>
          <w:rFonts w:cs="Times-Italic"/>
          <w:i/>
          <w:iCs/>
          <w:sz w:val="24"/>
          <w:szCs w:val="24"/>
          <w:lang w:val="en-US"/>
        </w:rPr>
        <w:t xml:space="preserve">, </w:t>
      </w:r>
      <w:r w:rsidRPr="000D4E29">
        <w:rPr>
          <w:rFonts w:cs="Times-Bold"/>
          <w:bCs/>
          <w:sz w:val="24"/>
          <w:szCs w:val="24"/>
          <w:lang w:val="en-US"/>
        </w:rPr>
        <w:t xml:space="preserve">48 </w:t>
      </w:r>
      <w:r w:rsidRPr="000D4E29">
        <w:rPr>
          <w:rFonts w:cs="Times-Roman"/>
          <w:sz w:val="24"/>
          <w:szCs w:val="24"/>
          <w:lang w:val="en-US"/>
        </w:rPr>
        <w:t>(3): 464-9, 2007</w:t>
      </w:r>
    </w:p>
    <w:p w:rsidR="00200CCF" w:rsidRPr="000D4E29" w:rsidRDefault="00CF4E10" w:rsidP="000D4E29">
      <w:pPr>
        <w:spacing w:before="240" w:after="0" w:line="320" w:lineRule="atLeast"/>
        <w:jc w:val="both"/>
        <w:rPr>
          <w:sz w:val="24"/>
          <w:szCs w:val="24"/>
          <w:lang w:val="en-US"/>
        </w:rPr>
      </w:pPr>
      <w:r w:rsidRPr="000D4E29">
        <w:rPr>
          <w:sz w:val="24"/>
          <w:szCs w:val="24"/>
          <w:lang w:val="en-US"/>
        </w:rPr>
        <w:t xml:space="preserve">- </w:t>
      </w:r>
      <w:r w:rsidRPr="000D4E29">
        <w:rPr>
          <w:rFonts w:cs="Giovanni-Book"/>
          <w:sz w:val="24"/>
          <w:szCs w:val="24"/>
          <w:lang w:val="en-US"/>
        </w:rPr>
        <w:t xml:space="preserve">Maarten </w:t>
      </w:r>
      <w:proofErr w:type="spellStart"/>
      <w:r w:rsidRPr="000D4E29">
        <w:rPr>
          <w:rFonts w:cs="Giovanni-Book"/>
          <w:sz w:val="24"/>
          <w:szCs w:val="24"/>
          <w:lang w:val="en-US"/>
        </w:rPr>
        <w:t>Treur</w:t>
      </w:r>
      <w:proofErr w:type="spellEnd"/>
      <w:r w:rsidRPr="000D4E29">
        <w:rPr>
          <w:rFonts w:cs="Giovanni-Book"/>
          <w:sz w:val="24"/>
          <w:szCs w:val="24"/>
          <w:lang w:val="en-US"/>
        </w:rPr>
        <w:t xml:space="preserve">, Bart </w:t>
      </w:r>
      <w:proofErr w:type="spellStart"/>
      <w:r w:rsidRPr="000D4E29">
        <w:rPr>
          <w:rFonts w:cs="Giovanni-Book"/>
          <w:sz w:val="24"/>
          <w:szCs w:val="24"/>
          <w:lang w:val="en-US"/>
        </w:rPr>
        <w:t>Heeg</w:t>
      </w:r>
      <w:proofErr w:type="spellEnd"/>
      <w:r w:rsidRPr="000D4E29">
        <w:rPr>
          <w:rFonts w:cs="Giovanni-Book"/>
          <w:sz w:val="24"/>
          <w:szCs w:val="24"/>
          <w:lang w:val="en-US"/>
        </w:rPr>
        <w:t>, Hans-</w:t>
      </w:r>
      <w:proofErr w:type="spellStart"/>
      <w:r w:rsidRPr="000D4E29">
        <w:rPr>
          <w:rFonts w:cs="Giovanni-Book"/>
          <w:sz w:val="24"/>
          <w:szCs w:val="24"/>
          <w:lang w:val="en-US"/>
        </w:rPr>
        <w:t>Jürgen</w:t>
      </w:r>
      <w:proofErr w:type="spellEnd"/>
      <w:r w:rsidRPr="000D4E29">
        <w:rPr>
          <w:rFonts w:cs="Giovanni-Book"/>
          <w:sz w:val="24"/>
          <w:szCs w:val="24"/>
          <w:lang w:val="en-US"/>
        </w:rPr>
        <w:t xml:space="preserve"> </w:t>
      </w:r>
      <w:proofErr w:type="spellStart"/>
      <w:r w:rsidRPr="000D4E29">
        <w:rPr>
          <w:rFonts w:cs="Giovanni-Book"/>
          <w:sz w:val="24"/>
          <w:szCs w:val="24"/>
          <w:lang w:val="en-US"/>
        </w:rPr>
        <w:t>Möller</w:t>
      </w:r>
      <w:proofErr w:type="spellEnd"/>
      <w:r w:rsidRPr="000D4E29">
        <w:rPr>
          <w:rFonts w:cs="Giovanni-Book"/>
          <w:sz w:val="24"/>
          <w:szCs w:val="24"/>
          <w:lang w:val="en-US"/>
        </w:rPr>
        <w:t xml:space="preserve">, Annette </w:t>
      </w:r>
      <w:proofErr w:type="spellStart"/>
      <w:r w:rsidRPr="000D4E29">
        <w:rPr>
          <w:rFonts w:cs="Giovanni-Book"/>
          <w:sz w:val="24"/>
          <w:szCs w:val="24"/>
          <w:lang w:val="en-US"/>
        </w:rPr>
        <w:t>Schmeding</w:t>
      </w:r>
      <w:proofErr w:type="spellEnd"/>
      <w:r w:rsidRPr="000D4E29">
        <w:rPr>
          <w:rFonts w:cs="Giovanni-Book"/>
          <w:sz w:val="24"/>
          <w:szCs w:val="24"/>
          <w:lang w:val="en-US"/>
        </w:rPr>
        <w:t xml:space="preserve">, Ben van </w:t>
      </w:r>
      <w:proofErr w:type="spellStart"/>
      <w:r w:rsidRPr="000D4E29">
        <w:rPr>
          <w:rFonts w:cs="Giovanni-Book"/>
          <w:sz w:val="24"/>
          <w:szCs w:val="24"/>
          <w:lang w:val="en-US"/>
        </w:rPr>
        <w:t>Hout</w:t>
      </w:r>
      <w:proofErr w:type="spellEnd"/>
      <w:r w:rsidRPr="000D4E29">
        <w:rPr>
          <w:rFonts w:cs="Giovanni-Book"/>
          <w:sz w:val="24"/>
          <w:szCs w:val="24"/>
          <w:lang w:val="en-US"/>
        </w:rPr>
        <w:t xml:space="preserve">. </w:t>
      </w:r>
      <w:proofErr w:type="gramStart"/>
      <w:r w:rsidRPr="000D4E29">
        <w:rPr>
          <w:rFonts w:cs="Giovanni-Book"/>
          <w:sz w:val="24"/>
          <w:szCs w:val="24"/>
          <w:lang w:val="en-US"/>
        </w:rPr>
        <w:t>“</w:t>
      </w:r>
      <w:r w:rsidRPr="000D4E29">
        <w:rPr>
          <w:rFonts w:cs="GillSans-Bold"/>
          <w:bCs/>
          <w:sz w:val="24"/>
          <w:szCs w:val="24"/>
          <w:lang w:val="en-US"/>
        </w:rPr>
        <w:t xml:space="preserve">A </w:t>
      </w:r>
      <w:proofErr w:type="spellStart"/>
      <w:r w:rsidRPr="000D4E29">
        <w:rPr>
          <w:rFonts w:cs="GillSans-Bold"/>
          <w:bCs/>
          <w:sz w:val="24"/>
          <w:szCs w:val="24"/>
          <w:lang w:val="en-US"/>
        </w:rPr>
        <w:t>pharmaco</w:t>
      </w:r>
      <w:proofErr w:type="spellEnd"/>
      <w:r w:rsidRPr="000D4E29">
        <w:rPr>
          <w:rFonts w:cs="GillSans-Bold"/>
          <w:bCs/>
          <w:sz w:val="24"/>
          <w:szCs w:val="24"/>
          <w:lang w:val="en-US"/>
        </w:rPr>
        <w:t xml:space="preserve">-economic analysis of patients with schizophrenia switching to generic </w:t>
      </w:r>
      <w:proofErr w:type="spellStart"/>
      <w:r w:rsidRPr="000D4E29">
        <w:rPr>
          <w:rFonts w:cs="GillSans-Bold"/>
          <w:bCs/>
          <w:sz w:val="24"/>
          <w:szCs w:val="24"/>
          <w:lang w:val="en-US"/>
        </w:rPr>
        <w:t>risperidone</w:t>
      </w:r>
      <w:proofErr w:type="spellEnd"/>
      <w:r w:rsidRPr="000D4E29">
        <w:rPr>
          <w:rFonts w:cs="GillSans-Bold"/>
          <w:bCs/>
          <w:sz w:val="24"/>
          <w:szCs w:val="24"/>
          <w:lang w:val="en-US"/>
        </w:rPr>
        <w:t xml:space="preserve"> involving a possible compliance loss”.</w:t>
      </w:r>
      <w:proofErr w:type="gramEnd"/>
      <w:r w:rsidRPr="000D4E29">
        <w:rPr>
          <w:rFonts w:cs="GillSans-Bold"/>
          <w:bCs/>
          <w:sz w:val="24"/>
          <w:szCs w:val="24"/>
          <w:lang w:val="en-US"/>
        </w:rPr>
        <w:t xml:space="preserve"> </w:t>
      </w:r>
      <w:r w:rsidRPr="000D4E29">
        <w:rPr>
          <w:rFonts w:cs="GillSans-Italic"/>
          <w:i/>
          <w:iCs/>
          <w:sz w:val="24"/>
          <w:szCs w:val="24"/>
          <w:lang w:val="en-US"/>
        </w:rPr>
        <w:t xml:space="preserve">BMC Health Services Research </w:t>
      </w:r>
      <w:r w:rsidRPr="000D4E29">
        <w:rPr>
          <w:rFonts w:cs="GillSans"/>
          <w:sz w:val="24"/>
          <w:szCs w:val="24"/>
          <w:lang w:val="en-US"/>
        </w:rPr>
        <w:t xml:space="preserve">2009, </w:t>
      </w:r>
      <w:r w:rsidRPr="000D4E29">
        <w:rPr>
          <w:rFonts w:cs="GillSans-Bold"/>
          <w:bCs/>
          <w:sz w:val="24"/>
          <w:szCs w:val="24"/>
          <w:lang w:val="en-US"/>
        </w:rPr>
        <w:t>9</w:t>
      </w:r>
      <w:r w:rsidRPr="000D4E29">
        <w:rPr>
          <w:rFonts w:cs="GillSans"/>
          <w:sz w:val="24"/>
          <w:szCs w:val="24"/>
          <w:lang w:val="en-US"/>
        </w:rPr>
        <w:t>:32 doi</w:t>
      </w:r>
      <w:proofErr w:type="gramStart"/>
      <w:r w:rsidRPr="000D4E29">
        <w:rPr>
          <w:rFonts w:cs="GillSans"/>
          <w:sz w:val="24"/>
          <w:szCs w:val="24"/>
          <w:lang w:val="en-US"/>
        </w:rPr>
        <w:t>:10.1186</w:t>
      </w:r>
      <w:proofErr w:type="gramEnd"/>
      <w:r w:rsidRPr="000D4E29">
        <w:rPr>
          <w:rFonts w:cs="GillSans"/>
          <w:sz w:val="24"/>
          <w:szCs w:val="24"/>
          <w:lang w:val="en-US"/>
        </w:rPr>
        <w:t>/1472-6963-9-32</w:t>
      </w:r>
    </w:p>
    <w:p w:rsidR="00CF4E10" w:rsidRPr="000D4E29" w:rsidRDefault="00CF4E10" w:rsidP="000D4E29">
      <w:pPr>
        <w:spacing w:before="240" w:after="0" w:line="320" w:lineRule="atLeast"/>
        <w:jc w:val="both"/>
        <w:rPr>
          <w:sz w:val="24"/>
          <w:szCs w:val="24"/>
        </w:rPr>
      </w:pPr>
      <w:r w:rsidRPr="000D4E29">
        <w:rPr>
          <w:rFonts w:cs="GillSans"/>
          <w:sz w:val="24"/>
          <w:szCs w:val="24"/>
          <w:lang w:val="en-US"/>
        </w:rPr>
        <w:t xml:space="preserve">- </w:t>
      </w:r>
      <w:r w:rsidRPr="000D4E29">
        <w:rPr>
          <w:rFonts w:cs="CongressSans"/>
          <w:sz w:val="24"/>
          <w:szCs w:val="24"/>
          <w:lang w:val="en-US"/>
        </w:rPr>
        <w:t xml:space="preserve">Julie Eve </w:t>
      </w:r>
      <w:proofErr w:type="spellStart"/>
      <w:r w:rsidRPr="000D4E29">
        <w:rPr>
          <w:rFonts w:cs="CongressSans"/>
          <w:sz w:val="24"/>
          <w:szCs w:val="24"/>
          <w:lang w:val="en-US"/>
        </w:rPr>
        <w:t>Desmarais</w:t>
      </w:r>
      <w:proofErr w:type="spellEnd"/>
      <w:r w:rsidRPr="000D4E29">
        <w:rPr>
          <w:rFonts w:cs="CongressSans"/>
          <w:sz w:val="24"/>
          <w:szCs w:val="24"/>
          <w:lang w:val="en-US"/>
        </w:rPr>
        <w:t xml:space="preserve">, Linda </w:t>
      </w:r>
      <w:proofErr w:type="spellStart"/>
      <w:r w:rsidRPr="000D4E29">
        <w:rPr>
          <w:rFonts w:cs="CongressSans"/>
          <w:sz w:val="24"/>
          <w:szCs w:val="24"/>
          <w:lang w:val="en-US"/>
        </w:rPr>
        <w:t>Beauclair</w:t>
      </w:r>
      <w:proofErr w:type="spellEnd"/>
      <w:r w:rsidRPr="000D4E29">
        <w:rPr>
          <w:rFonts w:cs="CongressSans"/>
          <w:sz w:val="24"/>
          <w:szCs w:val="24"/>
          <w:lang w:val="en-US"/>
        </w:rPr>
        <w:t xml:space="preserve"> &amp; Howard C. </w:t>
      </w:r>
      <w:proofErr w:type="spellStart"/>
      <w:r w:rsidRPr="000D4E29">
        <w:rPr>
          <w:rFonts w:cs="CongressSans"/>
          <w:sz w:val="24"/>
          <w:szCs w:val="24"/>
          <w:lang w:val="en-US"/>
        </w:rPr>
        <w:t>Margolese</w:t>
      </w:r>
      <w:proofErr w:type="spellEnd"/>
      <w:r w:rsidRPr="000D4E29">
        <w:rPr>
          <w:rFonts w:cs="CongressSans"/>
          <w:sz w:val="24"/>
          <w:szCs w:val="24"/>
          <w:lang w:val="en-US"/>
        </w:rPr>
        <w:t xml:space="preserve">. </w:t>
      </w:r>
      <w:proofErr w:type="gramStart"/>
      <w:r w:rsidRPr="000D4E29">
        <w:rPr>
          <w:rFonts w:cs="CongressSans"/>
          <w:sz w:val="24"/>
          <w:szCs w:val="24"/>
          <w:lang w:val="en-US"/>
        </w:rPr>
        <w:t>“</w:t>
      </w:r>
      <w:r w:rsidRPr="000D4E29">
        <w:rPr>
          <w:rFonts w:cs="CongressSans-ExtraBold"/>
          <w:bCs/>
          <w:sz w:val="24"/>
          <w:szCs w:val="24"/>
          <w:lang w:val="en-US"/>
        </w:rPr>
        <w:t>Switching from Brand-Name to Generic Psychotropic Medications: A Literature Review”.</w:t>
      </w:r>
      <w:proofErr w:type="gramEnd"/>
      <w:r w:rsidRPr="000D4E29">
        <w:rPr>
          <w:rFonts w:cs="CongressSans-ExtraBold"/>
          <w:bCs/>
          <w:sz w:val="24"/>
          <w:szCs w:val="24"/>
          <w:lang w:val="en-US"/>
        </w:rPr>
        <w:t xml:space="preserve"> </w:t>
      </w:r>
      <w:r w:rsidR="0029495C" w:rsidRPr="000D4E29">
        <w:rPr>
          <w:rFonts w:cs="CongressSans-Light"/>
          <w:i/>
          <w:sz w:val="24"/>
          <w:szCs w:val="24"/>
        </w:rPr>
        <w:t xml:space="preserve">CNS </w:t>
      </w:r>
      <w:proofErr w:type="spellStart"/>
      <w:r w:rsidR="0029495C" w:rsidRPr="000D4E29">
        <w:rPr>
          <w:rFonts w:cs="CongressSans-Light"/>
          <w:i/>
          <w:sz w:val="24"/>
          <w:szCs w:val="24"/>
        </w:rPr>
        <w:t>Neuroscience</w:t>
      </w:r>
      <w:proofErr w:type="spellEnd"/>
      <w:r w:rsidR="0029495C" w:rsidRPr="000D4E29">
        <w:rPr>
          <w:rFonts w:cs="CongressSans-Light"/>
          <w:i/>
          <w:sz w:val="24"/>
          <w:szCs w:val="24"/>
        </w:rPr>
        <w:t xml:space="preserve"> &amp; </w:t>
      </w:r>
      <w:proofErr w:type="spellStart"/>
      <w:r w:rsidR="0029495C" w:rsidRPr="000D4E29">
        <w:rPr>
          <w:rFonts w:cs="CongressSans-Light"/>
          <w:i/>
          <w:sz w:val="24"/>
          <w:szCs w:val="24"/>
        </w:rPr>
        <w:t>Therapeutics</w:t>
      </w:r>
      <w:proofErr w:type="spellEnd"/>
      <w:r w:rsidR="0029495C" w:rsidRPr="000D4E29">
        <w:rPr>
          <w:rFonts w:cs="CongressSans-Light"/>
          <w:sz w:val="24"/>
          <w:szCs w:val="24"/>
        </w:rPr>
        <w:t xml:space="preserve">, </w:t>
      </w:r>
      <w:r w:rsidR="0029495C" w:rsidRPr="000D4E29">
        <w:rPr>
          <w:rFonts w:cs="CongressSans-Bold"/>
          <w:bCs/>
          <w:sz w:val="24"/>
          <w:szCs w:val="24"/>
        </w:rPr>
        <w:t xml:space="preserve">00 </w:t>
      </w:r>
      <w:r w:rsidR="0029495C" w:rsidRPr="000D4E29">
        <w:rPr>
          <w:rFonts w:cs="CongressSans-Light"/>
          <w:sz w:val="24"/>
          <w:szCs w:val="24"/>
        </w:rPr>
        <w:t xml:space="preserve">(2010) </w:t>
      </w:r>
      <w:proofErr w:type="gramStart"/>
      <w:r w:rsidR="0029495C" w:rsidRPr="000D4E29">
        <w:rPr>
          <w:rFonts w:cs="CongressSans-Light"/>
          <w:sz w:val="24"/>
          <w:szCs w:val="24"/>
        </w:rPr>
        <w:t>1–11</w:t>
      </w:r>
      <w:proofErr w:type="gramEnd"/>
    </w:p>
    <w:p w:rsidR="00200CCF" w:rsidRPr="000D4E29" w:rsidRDefault="0029495C" w:rsidP="000D4E29">
      <w:pPr>
        <w:autoSpaceDE w:val="0"/>
        <w:autoSpaceDN w:val="0"/>
        <w:adjustRightInd w:val="0"/>
        <w:spacing w:before="240" w:after="0" w:line="320" w:lineRule="atLeast"/>
        <w:jc w:val="both"/>
        <w:rPr>
          <w:rFonts w:cs="CongressSans-Light"/>
          <w:sz w:val="24"/>
          <w:szCs w:val="24"/>
          <w:lang w:val="en-US"/>
        </w:rPr>
      </w:pPr>
      <w:r w:rsidRPr="000D4E29">
        <w:rPr>
          <w:rFonts w:cs="CongressSans-Light"/>
          <w:sz w:val="24"/>
          <w:szCs w:val="24"/>
        </w:rPr>
        <w:t>Deste último artigo vale a pena reproduzir todo o respectivo resumo, porque extremamente pedagógico: “</w:t>
      </w:r>
      <w:proofErr w:type="spellStart"/>
      <w:r w:rsidRPr="000D4E29">
        <w:rPr>
          <w:rFonts w:cs="Meridien-Roman"/>
          <w:sz w:val="24"/>
          <w:szCs w:val="24"/>
        </w:rPr>
        <w:t>Generic</w:t>
      </w:r>
      <w:proofErr w:type="spellEnd"/>
      <w:r w:rsidRPr="000D4E29">
        <w:rPr>
          <w:rFonts w:cs="Meridien-Roman"/>
          <w:sz w:val="24"/>
          <w:szCs w:val="24"/>
        </w:rPr>
        <w:t xml:space="preserve"> </w:t>
      </w:r>
      <w:proofErr w:type="spellStart"/>
      <w:r w:rsidRPr="000D4E29">
        <w:rPr>
          <w:rFonts w:cs="Meridien-Roman"/>
          <w:sz w:val="24"/>
          <w:szCs w:val="24"/>
        </w:rPr>
        <w:t>medications</w:t>
      </w:r>
      <w:proofErr w:type="spellEnd"/>
      <w:r w:rsidRPr="000D4E29">
        <w:rPr>
          <w:rFonts w:cs="Meridien-Roman"/>
          <w:sz w:val="24"/>
          <w:szCs w:val="24"/>
        </w:rPr>
        <w:t xml:space="preserve"> do </w:t>
      </w:r>
      <w:proofErr w:type="spellStart"/>
      <w:r w:rsidRPr="000D4E29">
        <w:rPr>
          <w:rFonts w:cs="Meridien-Roman"/>
          <w:sz w:val="24"/>
          <w:szCs w:val="24"/>
        </w:rPr>
        <w:t>not</w:t>
      </w:r>
      <w:proofErr w:type="spellEnd"/>
      <w:r w:rsidRPr="000D4E29">
        <w:rPr>
          <w:rFonts w:cs="Meridien-Roman"/>
          <w:sz w:val="24"/>
          <w:szCs w:val="24"/>
        </w:rPr>
        <w:t xml:space="preserve"> </w:t>
      </w:r>
      <w:proofErr w:type="spellStart"/>
      <w:r w:rsidRPr="000D4E29">
        <w:rPr>
          <w:rFonts w:cs="Meridien-Roman"/>
          <w:sz w:val="24"/>
          <w:szCs w:val="24"/>
        </w:rPr>
        <w:t>undergo</w:t>
      </w:r>
      <w:proofErr w:type="spellEnd"/>
      <w:r w:rsidRPr="000D4E29">
        <w:rPr>
          <w:rFonts w:cs="Meridien-Roman"/>
          <w:sz w:val="24"/>
          <w:szCs w:val="24"/>
        </w:rPr>
        <w:t xml:space="preserve"> </w:t>
      </w:r>
      <w:proofErr w:type="spellStart"/>
      <w:r w:rsidRPr="000D4E29">
        <w:rPr>
          <w:rFonts w:cs="Meridien-Roman"/>
          <w:sz w:val="24"/>
          <w:szCs w:val="24"/>
        </w:rPr>
        <w:t>the</w:t>
      </w:r>
      <w:proofErr w:type="spellEnd"/>
      <w:r w:rsidRPr="000D4E29">
        <w:rPr>
          <w:rFonts w:cs="Meridien-Roman"/>
          <w:sz w:val="24"/>
          <w:szCs w:val="24"/>
        </w:rPr>
        <w:t xml:space="preserve"> </w:t>
      </w:r>
      <w:proofErr w:type="spellStart"/>
      <w:r w:rsidRPr="000D4E29">
        <w:rPr>
          <w:rFonts w:cs="Meridien-Roman"/>
          <w:sz w:val="24"/>
          <w:szCs w:val="24"/>
        </w:rPr>
        <w:t>rigorous</w:t>
      </w:r>
      <w:proofErr w:type="spellEnd"/>
      <w:r w:rsidRPr="000D4E29">
        <w:rPr>
          <w:rFonts w:cs="Meridien-Roman"/>
          <w:sz w:val="24"/>
          <w:szCs w:val="24"/>
        </w:rPr>
        <w:t xml:space="preserve"> </w:t>
      </w:r>
      <w:proofErr w:type="spellStart"/>
      <w:r w:rsidRPr="000D4E29">
        <w:rPr>
          <w:rFonts w:cs="Meridien-Roman"/>
          <w:sz w:val="24"/>
          <w:szCs w:val="24"/>
        </w:rPr>
        <w:t>approval</w:t>
      </w:r>
      <w:proofErr w:type="spellEnd"/>
      <w:r w:rsidRPr="000D4E29">
        <w:rPr>
          <w:rFonts w:cs="Meridien-Roman"/>
          <w:sz w:val="24"/>
          <w:szCs w:val="24"/>
        </w:rPr>
        <w:t xml:space="preserve"> </w:t>
      </w:r>
      <w:proofErr w:type="spellStart"/>
      <w:r w:rsidRPr="000D4E29">
        <w:rPr>
          <w:rFonts w:cs="Meridien-Roman"/>
          <w:sz w:val="24"/>
          <w:szCs w:val="24"/>
        </w:rPr>
        <w:t>process</w:t>
      </w:r>
      <w:proofErr w:type="spellEnd"/>
      <w:r w:rsidRPr="000D4E29">
        <w:rPr>
          <w:rFonts w:cs="Meridien-Roman"/>
          <w:sz w:val="24"/>
          <w:szCs w:val="24"/>
        </w:rPr>
        <w:t xml:space="preserve"> </w:t>
      </w:r>
      <w:proofErr w:type="spellStart"/>
      <w:r w:rsidRPr="000D4E29">
        <w:rPr>
          <w:rFonts w:cs="Meridien-Roman"/>
          <w:sz w:val="24"/>
          <w:szCs w:val="24"/>
        </w:rPr>
        <w:t>required</w:t>
      </w:r>
      <w:proofErr w:type="spellEnd"/>
      <w:r w:rsidRPr="000D4E29">
        <w:rPr>
          <w:rFonts w:cs="Meridien-Roman"/>
          <w:sz w:val="24"/>
          <w:szCs w:val="24"/>
        </w:rPr>
        <w:t xml:space="preserve"> </w:t>
      </w:r>
      <w:proofErr w:type="spellStart"/>
      <w:r w:rsidRPr="000D4E29">
        <w:rPr>
          <w:rFonts w:cs="Meridien-Roman"/>
          <w:sz w:val="24"/>
          <w:szCs w:val="24"/>
        </w:rPr>
        <w:t>of</w:t>
      </w:r>
      <w:proofErr w:type="spellEnd"/>
      <w:r w:rsidRPr="000D4E29">
        <w:rPr>
          <w:rFonts w:cs="Meridien-Roman"/>
          <w:sz w:val="24"/>
          <w:szCs w:val="24"/>
        </w:rPr>
        <w:t xml:space="preserve"> original </w:t>
      </w:r>
      <w:proofErr w:type="spellStart"/>
      <w:r w:rsidRPr="000D4E29">
        <w:rPr>
          <w:rFonts w:cs="Meridien-Roman"/>
          <w:sz w:val="24"/>
          <w:szCs w:val="24"/>
        </w:rPr>
        <w:t>medications</w:t>
      </w:r>
      <w:proofErr w:type="spellEnd"/>
      <w:r w:rsidRPr="000D4E29">
        <w:rPr>
          <w:rFonts w:cs="Meridien-Roman"/>
          <w:sz w:val="24"/>
          <w:szCs w:val="24"/>
        </w:rPr>
        <w:t xml:space="preserve">. </w:t>
      </w:r>
      <w:r w:rsidRPr="000D4E29">
        <w:rPr>
          <w:rFonts w:cs="Meridien-Roman"/>
          <w:sz w:val="24"/>
          <w:szCs w:val="24"/>
          <w:lang w:val="en-US"/>
        </w:rPr>
        <w:t xml:space="preserve">Their effectiveness and safety is expected to be equal to that of their more expensive counterparts. However, several case reports and studies describe clinical deterioration and decreased tolerability with generic substitution. </w:t>
      </w:r>
      <w:proofErr w:type="spellStart"/>
      <w:r w:rsidRPr="000D4E29">
        <w:rPr>
          <w:rFonts w:cs="Meridien-Roman"/>
          <w:sz w:val="24"/>
          <w:szCs w:val="24"/>
          <w:lang w:val="en-US"/>
        </w:rPr>
        <w:t>Pubmed</w:t>
      </w:r>
      <w:proofErr w:type="spellEnd"/>
      <w:r w:rsidRPr="000D4E29">
        <w:rPr>
          <w:rFonts w:cs="Meridien-Roman"/>
          <w:sz w:val="24"/>
          <w:szCs w:val="24"/>
          <w:lang w:val="en-US"/>
        </w:rPr>
        <w:t xml:space="preserve"> was searched from January 1, 1974 to March 1, 2010. The </w:t>
      </w:r>
      <w:proofErr w:type="spellStart"/>
      <w:r w:rsidRPr="000D4E29">
        <w:rPr>
          <w:rFonts w:cs="Meridien-Roman"/>
          <w:sz w:val="24"/>
          <w:szCs w:val="24"/>
          <w:lang w:val="en-US"/>
        </w:rPr>
        <w:t>MeSH</w:t>
      </w:r>
      <w:proofErr w:type="spellEnd"/>
      <w:r w:rsidRPr="000D4E29">
        <w:rPr>
          <w:rFonts w:cs="Meridien-Roman"/>
          <w:sz w:val="24"/>
          <w:szCs w:val="24"/>
          <w:lang w:val="en-US"/>
        </w:rPr>
        <w:t xml:space="preserve"> term “generic, drugs” was combined with “anticonvulsants,” “mood stabilizers,” “lithium,” “antidepressants,” “antipsychotics,” “</w:t>
      </w:r>
      <w:proofErr w:type="spellStart"/>
      <w:r w:rsidRPr="000D4E29">
        <w:rPr>
          <w:rFonts w:cs="Meridien-Roman"/>
          <w:sz w:val="24"/>
          <w:szCs w:val="24"/>
          <w:lang w:val="en-US"/>
        </w:rPr>
        <w:t>anxiolytics</w:t>
      </w:r>
      <w:proofErr w:type="spellEnd"/>
      <w:r w:rsidRPr="000D4E29">
        <w:rPr>
          <w:rFonts w:cs="Meridien-Roman"/>
          <w:sz w:val="24"/>
          <w:szCs w:val="24"/>
          <w:lang w:val="en-US"/>
        </w:rPr>
        <w:t>,” and “benzodiazepines.” Additional articles were obtained by searching the bibliographies of relevant references. Articles in English, French, or Spanish were considered if they discussed clinical equivalence of generic and brand-name medications, generic substitution, or issues about effectiveness, tolerability, compliance, or economics encountered with generics. Clinical deterioration, adverse effects, and changes in pharmacokinetics are described with generic substitution of several anticonvulsants/mood stabilizers (</w:t>
      </w:r>
      <w:proofErr w:type="spellStart"/>
      <w:r w:rsidRPr="000D4E29">
        <w:rPr>
          <w:rFonts w:cs="Meridien-Roman"/>
          <w:sz w:val="24"/>
          <w:szCs w:val="24"/>
          <w:lang w:val="en-US"/>
        </w:rPr>
        <w:t>carbamazepine</w:t>
      </w:r>
      <w:proofErr w:type="spellEnd"/>
      <w:r w:rsidRPr="000D4E29">
        <w:rPr>
          <w:rFonts w:cs="Meridien-Roman"/>
          <w:sz w:val="24"/>
          <w:szCs w:val="24"/>
          <w:lang w:val="en-US"/>
        </w:rPr>
        <w:t xml:space="preserve">, </w:t>
      </w:r>
      <w:proofErr w:type="spellStart"/>
      <w:r w:rsidRPr="000D4E29">
        <w:rPr>
          <w:rFonts w:cs="Meridien-Roman"/>
          <w:sz w:val="24"/>
          <w:szCs w:val="24"/>
          <w:lang w:val="en-US"/>
        </w:rPr>
        <w:t>valproate</w:t>
      </w:r>
      <w:proofErr w:type="spellEnd"/>
      <w:r w:rsidRPr="000D4E29">
        <w:rPr>
          <w:rFonts w:cs="Meridien-Roman"/>
          <w:sz w:val="24"/>
          <w:szCs w:val="24"/>
          <w:lang w:val="en-US"/>
        </w:rPr>
        <w:t xml:space="preserve">, </w:t>
      </w:r>
      <w:proofErr w:type="spellStart"/>
      <w:r w:rsidRPr="000D4E29">
        <w:rPr>
          <w:rFonts w:cs="Meridien-Roman"/>
          <w:sz w:val="24"/>
          <w:szCs w:val="24"/>
          <w:lang w:val="en-US"/>
        </w:rPr>
        <w:t>lamotrigine</w:t>
      </w:r>
      <w:proofErr w:type="spellEnd"/>
      <w:r w:rsidRPr="000D4E29">
        <w:rPr>
          <w:rFonts w:cs="Meridien-Roman"/>
          <w:sz w:val="24"/>
          <w:szCs w:val="24"/>
          <w:lang w:val="en-US"/>
        </w:rPr>
        <w:t xml:space="preserve">, </w:t>
      </w:r>
      <w:proofErr w:type="spellStart"/>
      <w:r w:rsidRPr="000D4E29">
        <w:rPr>
          <w:rFonts w:cs="Meridien-Roman"/>
          <w:sz w:val="24"/>
          <w:szCs w:val="24"/>
          <w:lang w:val="en-US"/>
        </w:rPr>
        <w:t>gabapentin</w:t>
      </w:r>
      <w:proofErr w:type="spellEnd"/>
      <w:r w:rsidRPr="000D4E29">
        <w:rPr>
          <w:rFonts w:cs="Meridien-Roman"/>
          <w:sz w:val="24"/>
          <w:szCs w:val="24"/>
          <w:lang w:val="en-US"/>
        </w:rPr>
        <w:t xml:space="preserve">, </w:t>
      </w:r>
      <w:proofErr w:type="spellStart"/>
      <w:r w:rsidRPr="000D4E29">
        <w:rPr>
          <w:rFonts w:cs="Meridien-Roman"/>
          <w:sz w:val="24"/>
          <w:szCs w:val="24"/>
          <w:lang w:val="en-US"/>
        </w:rPr>
        <w:t>topiramate</w:t>
      </w:r>
      <w:proofErr w:type="spellEnd"/>
      <w:r w:rsidRPr="000D4E29">
        <w:rPr>
          <w:rFonts w:cs="Meridien-Roman"/>
          <w:sz w:val="24"/>
          <w:szCs w:val="24"/>
          <w:lang w:val="en-US"/>
        </w:rPr>
        <w:t>, lithium), antidepressants (</w:t>
      </w:r>
      <w:proofErr w:type="spellStart"/>
      <w:r w:rsidRPr="000D4E29">
        <w:rPr>
          <w:rFonts w:cs="Meridien-Roman"/>
          <w:sz w:val="24"/>
          <w:szCs w:val="24"/>
          <w:lang w:val="en-US"/>
        </w:rPr>
        <w:t>amitriptyline</w:t>
      </w:r>
      <w:proofErr w:type="spellEnd"/>
      <w:r w:rsidRPr="000D4E29">
        <w:rPr>
          <w:rFonts w:cs="Meridien-Roman"/>
          <w:sz w:val="24"/>
          <w:szCs w:val="24"/>
          <w:lang w:val="en-US"/>
        </w:rPr>
        <w:t xml:space="preserve">, </w:t>
      </w:r>
      <w:proofErr w:type="spellStart"/>
      <w:r w:rsidRPr="000D4E29">
        <w:rPr>
          <w:rFonts w:cs="Meridien-Roman"/>
          <w:sz w:val="24"/>
          <w:szCs w:val="24"/>
          <w:lang w:val="en-US"/>
        </w:rPr>
        <w:t>nortriptyline</w:t>
      </w:r>
      <w:proofErr w:type="spellEnd"/>
      <w:r w:rsidRPr="000D4E29">
        <w:rPr>
          <w:rFonts w:cs="Meridien-Roman"/>
          <w:sz w:val="24"/>
          <w:szCs w:val="24"/>
          <w:lang w:val="en-US"/>
        </w:rPr>
        <w:t xml:space="preserve">, </w:t>
      </w:r>
      <w:proofErr w:type="spellStart"/>
      <w:r w:rsidRPr="000D4E29">
        <w:rPr>
          <w:rFonts w:cs="Meridien-Roman"/>
          <w:sz w:val="24"/>
          <w:szCs w:val="24"/>
          <w:lang w:val="en-US"/>
        </w:rPr>
        <w:lastRenderedPageBreak/>
        <w:t>desipramine</w:t>
      </w:r>
      <w:proofErr w:type="spellEnd"/>
      <w:r w:rsidRPr="000D4E29">
        <w:rPr>
          <w:rFonts w:cs="Meridien-Roman"/>
          <w:sz w:val="24"/>
          <w:szCs w:val="24"/>
          <w:lang w:val="en-US"/>
        </w:rPr>
        <w:t xml:space="preserve">, </w:t>
      </w:r>
      <w:proofErr w:type="spellStart"/>
      <w:r w:rsidRPr="000D4E29">
        <w:rPr>
          <w:rFonts w:cs="Meridien-Roman"/>
          <w:sz w:val="24"/>
          <w:szCs w:val="24"/>
          <w:lang w:val="en-US"/>
        </w:rPr>
        <w:t>fluoxetine</w:t>
      </w:r>
      <w:proofErr w:type="spellEnd"/>
      <w:r w:rsidRPr="000D4E29">
        <w:rPr>
          <w:rFonts w:cs="Meridien-Roman"/>
          <w:sz w:val="24"/>
          <w:szCs w:val="24"/>
          <w:lang w:val="en-US"/>
        </w:rPr>
        <w:t xml:space="preserve">, </w:t>
      </w:r>
      <w:proofErr w:type="spellStart"/>
      <w:r w:rsidRPr="000D4E29">
        <w:rPr>
          <w:rFonts w:cs="Meridien-Roman"/>
          <w:sz w:val="24"/>
          <w:szCs w:val="24"/>
          <w:lang w:val="en-US"/>
        </w:rPr>
        <w:t>paroxetine</w:t>
      </w:r>
      <w:proofErr w:type="spellEnd"/>
      <w:r w:rsidRPr="000D4E29">
        <w:rPr>
          <w:rFonts w:cs="Meridien-Roman"/>
          <w:sz w:val="24"/>
          <w:szCs w:val="24"/>
          <w:lang w:val="en-US"/>
        </w:rPr>
        <w:t xml:space="preserve">, </w:t>
      </w:r>
      <w:proofErr w:type="spellStart"/>
      <w:r w:rsidRPr="000D4E29">
        <w:rPr>
          <w:rFonts w:cs="Meridien-Roman"/>
          <w:sz w:val="24"/>
          <w:szCs w:val="24"/>
          <w:lang w:val="en-US"/>
        </w:rPr>
        <w:t>citalopram</w:t>
      </w:r>
      <w:proofErr w:type="spellEnd"/>
      <w:r w:rsidRPr="000D4E29">
        <w:rPr>
          <w:rFonts w:cs="Meridien-Roman"/>
          <w:sz w:val="24"/>
          <w:szCs w:val="24"/>
          <w:lang w:val="en-US"/>
        </w:rPr>
        <w:t xml:space="preserve">, </w:t>
      </w:r>
      <w:proofErr w:type="spellStart"/>
      <w:r w:rsidRPr="000D4E29">
        <w:rPr>
          <w:rFonts w:cs="Meridien-Roman"/>
          <w:sz w:val="24"/>
          <w:szCs w:val="24"/>
          <w:lang w:val="en-US"/>
        </w:rPr>
        <w:t>sertraline</w:t>
      </w:r>
      <w:proofErr w:type="spellEnd"/>
      <w:r w:rsidRPr="000D4E29">
        <w:rPr>
          <w:rFonts w:cs="Meridien-Roman"/>
          <w:sz w:val="24"/>
          <w:szCs w:val="24"/>
          <w:lang w:val="en-US"/>
        </w:rPr>
        <w:t xml:space="preserve">, </w:t>
      </w:r>
      <w:proofErr w:type="spellStart"/>
      <w:r w:rsidRPr="000D4E29">
        <w:rPr>
          <w:rFonts w:cs="Meridien-Roman"/>
          <w:sz w:val="24"/>
          <w:szCs w:val="24"/>
          <w:lang w:val="en-US"/>
        </w:rPr>
        <w:t>venlafaxine</w:t>
      </w:r>
      <w:proofErr w:type="spellEnd"/>
      <w:r w:rsidRPr="000D4E29">
        <w:rPr>
          <w:rFonts w:cs="Meridien-Roman"/>
          <w:sz w:val="24"/>
          <w:szCs w:val="24"/>
          <w:lang w:val="en-US"/>
        </w:rPr>
        <w:t xml:space="preserve">, </w:t>
      </w:r>
      <w:proofErr w:type="spellStart"/>
      <w:r w:rsidRPr="000D4E29">
        <w:rPr>
          <w:rFonts w:cs="Meridien-Roman"/>
          <w:sz w:val="24"/>
          <w:szCs w:val="24"/>
          <w:lang w:val="en-US"/>
        </w:rPr>
        <w:t>mirtazapine</w:t>
      </w:r>
      <w:proofErr w:type="spellEnd"/>
      <w:r w:rsidRPr="000D4E29">
        <w:rPr>
          <w:rFonts w:cs="Meridien-Roman"/>
          <w:sz w:val="24"/>
          <w:szCs w:val="24"/>
          <w:lang w:val="en-US"/>
        </w:rPr>
        <w:t xml:space="preserve">, </w:t>
      </w:r>
      <w:proofErr w:type="spellStart"/>
      <w:r w:rsidRPr="000D4E29">
        <w:rPr>
          <w:rFonts w:cs="Meridien-Roman"/>
          <w:sz w:val="24"/>
          <w:szCs w:val="24"/>
          <w:lang w:val="en-US"/>
        </w:rPr>
        <w:t>bupropion</w:t>
      </w:r>
      <w:proofErr w:type="spellEnd"/>
      <w:r w:rsidRPr="000D4E29">
        <w:rPr>
          <w:rFonts w:cs="Meridien-Roman"/>
          <w:sz w:val="24"/>
          <w:szCs w:val="24"/>
          <w:lang w:val="en-US"/>
        </w:rPr>
        <w:t>), antipsychotics (</w:t>
      </w:r>
      <w:proofErr w:type="spellStart"/>
      <w:r w:rsidRPr="000D4E29">
        <w:rPr>
          <w:rFonts w:cs="Meridien-Roman"/>
          <w:sz w:val="24"/>
          <w:szCs w:val="24"/>
          <w:lang w:val="en-US"/>
        </w:rPr>
        <w:t>risperidone</w:t>
      </w:r>
      <w:proofErr w:type="spellEnd"/>
      <w:r w:rsidRPr="000D4E29">
        <w:rPr>
          <w:rFonts w:cs="Meridien-Roman"/>
          <w:sz w:val="24"/>
          <w:szCs w:val="24"/>
          <w:lang w:val="en-US"/>
        </w:rPr>
        <w:t xml:space="preserve">, </w:t>
      </w:r>
      <w:proofErr w:type="spellStart"/>
      <w:r w:rsidRPr="000D4E29">
        <w:rPr>
          <w:rFonts w:cs="Meridien-Roman"/>
          <w:sz w:val="24"/>
          <w:szCs w:val="24"/>
          <w:lang w:val="en-US"/>
        </w:rPr>
        <w:t>clozapine</w:t>
      </w:r>
      <w:proofErr w:type="spellEnd"/>
      <w:r w:rsidRPr="000D4E29">
        <w:rPr>
          <w:rFonts w:cs="Meridien-Roman"/>
          <w:sz w:val="24"/>
          <w:szCs w:val="24"/>
          <w:lang w:val="en-US"/>
        </w:rPr>
        <w:t xml:space="preserve">), and </w:t>
      </w:r>
      <w:proofErr w:type="spellStart"/>
      <w:r w:rsidRPr="000D4E29">
        <w:rPr>
          <w:rFonts w:cs="Meridien-Roman"/>
          <w:sz w:val="24"/>
          <w:szCs w:val="24"/>
          <w:lang w:val="en-US"/>
        </w:rPr>
        <w:t>anxiolytics</w:t>
      </w:r>
      <w:proofErr w:type="spellEnd"/>
      <w:r w:rsidRPr="000D4E29">
        <w:rPr>
          <w:rFonts w:cs="Meridien-Roman"/>
          <w:sz w:val="24"/>
          <w:szCs w:val="24"/>
          <w:lang w:val="en-US"/>
        </w:rPr>
        <w:t xml:space="preserve"> (</w:t>
      </w:r>
      <w:proofErr w:type="spellStart"/>
      <w:r w:rsidRPr="000D4E29">
        <w:rPr>
          <w:rFonts w:cs="Meridien-Roman"/>
          <w:sz w:val="24"/>
          <w:szCs w:val="24"/>
          <w:lang w:val="en-US"/>
        </w:rPr>
        <w:t>clonazepam</w:t>
      </w:r>
      <w:proofErr w:type="spellEnd"/>
      <w:r w:rsidRPr="000D4E29">
        <w:rPr>
          <w:rFonts w:cs="Meridien-Roman"/>
          <w:sz w:val="24"/>
          <w:szCs w:val="24"/>
          <w:lang w:val="en-US"/>
        </w:rPr>
        <w:t xml:space="preserve">, </w:t>
      </w:r>
      <w:proofErr w:type="spellStart"/>
      <w:r w:rsidRPr="000D4E29">
        <w:rPr>
          <w:rFonts w:cs="Meridien-Roman"/>
          <w:sz w:val="24"/>
          <w:szCs w:val="24"/>
          <w:lang w:val="en-US"/>
        </w:rPr>
        <w:t>alprazolam</w:t>
      </w:r>
      <w:proofErr w:type="spellEnd"/>
      <w:r w:rsidRPr="000D4E29">
        <w:rPr>
          <w:rFonts w:cs="Meridien-Roman"/>
          <w:sz w:val="24"/>
          <w:szCs w:val="24"/>
          <w:lang w:val="en-US"/>
        </w:rPr>
        <w:t>). Generics do not always lead to the anticipated monetary savings and also raise compliance issues. Although the review is limited by publication bias and heterogeneity of the studies in the literature, we believe there is enough concern to advise generic switching on an individual basis with close monitoring throughout the transition. Health professionals should be aware of the stakes around generic substitution especially when health economics promote universal use of generics</w:t>
      </w:r>
      <w:r w:rsidRPr="000D4E29">
        <w:rPr>
          <w:rFonts w:cs="CongressSans-Light"/>
          <w:sz w:val="24"/>
          <w:szCs w:val="24"/>
          <w:lang w:val="en-US"/>
        </w:rPr>
        <w:t>”</w:t>
      </w:r>
    </w:p>
    <w:p w:rsidR="0029495C" w:rsidRPr="000D4E29" w:rsidRDefault="0029495C" w:rsidP="000D4E29">
      <w:pPr>
        <w:autoSpaceDE w:val="0"/>
        <w:autoSpaceDN w:val="0"/>
        <w:adjustRightInd w:val="0"/>
        <w:spacing w:before="240" w:after="0" w:line="320" w:lineRule="atLeast"/>
        <w:jc w:val="both"/>
        <w:rPr>
          <w:rFonts w:cs="StoneSans"/>
          <w:sz w:val="24"/>
          <w:szCs w:val="24"/>
          <w:lang w:val="en-US"/>
        </w:rPr>
      </w:pPr>
      <w:r w:rsidRPr="000D4E29">
        <w:rPr>
          <w:rFonts w:cs="CongressSans-Light"/>
          <w:sz w:val="24"/>
          <w:szCs w:val="24"/>
          <w:lang w:val="en-US"/>
        </w:rPr>
        <w:t xml:space="preserve">- </w:t>
      </w:r>
      <w:proofErr w:type="spellStart"/>
      <w:r w:rsidR="007B7B59" w:rsidRPr="000D4E29">
        <w:rPr>
          <w:rFonts w:cs="Myriad-Roman"/>
          <w:sz w:val="24"/>
          <w:szCs w:val="24"/>
          <w:lang w:val="en-US"/>
        </w:rPr>
        <w:t>Atholl</w:t>
      </w:r>
      <w:proofErr w:type="spellEnd"/>
      <w:r w:rsidR="007B7B59" w:rsidRPr="000D4E29">
        <w:rPr>
          <w:rFonts w:cs="Myriad-Roman"/>
          <w:sz w:val="24"/>
          <w:szCs w:val="24"/>
          <w:lang w:val="en-US"/>
        </w:rPr>
        <w:t xml:space="preserve"> Johnston.</w:t>
      </w:r>
      <w:r w:rsidR="007B7B59" w:rsidRPr="000D4E29">
        <w:rPr>
          <w:rFonts w:cs="CongressSans-Light"/>
          <w:sz w:val="24"/>
          <w:szCs w:val="24"/>
          <w:lang w:val="en-US"/>
        </w:rPr>
        <w:t xml:space="preserve"> </w:t>
      </w:r>
      <w:proofErr w:type="gramStart"/>
      <w:r w:rsidR="007B7B59" w:rsidRPr="000D4E29">
        <w:rPr>
          <w:rFonts w:cs="CongressSans-Light"/>
          <w:sz w:val="24"/>
          <w:szCs w:val="24"/>
          <w:lang w:val="en-US"/>
        </w:rPr>
        <w:t>“</w:t>
      </w:r>
      <w:r w:rsidR="007B7B59" w:rsidRPr="000D4E29">
        <w:rPr>
          <w:rFonts w:cs="StoneSans"/>
          <w:sz w:val="24"/>
          <w:szCs w:val="24"/>
          <w:lang w:val="en-US"/>
        </w:rPr>
        <w:t>Effectiveness, safety and cost of drug substitution in hypertension</w:t>
      </w:r>
      <w:r w:rsidR="007B7B59" w:rsidRPr="000D4E29">
        <w:rPr>
          <w:rFonts w:cs="CongressSans-Light"/>
          <w:sz w:val="24"/>
          <w:szCs w:val="24"/>
          <w:lang w:val="en-US"/>
        </w:rPr>
        <w:t>”.</w:t>
      </w:r>
      <w:proofErr w:type="gramEnd"/>
      <w:r w:rsidR="007B7B59" w:rsidRPr="000D4E29">
        <w:rPr>
          <w:rFonts w:cs="CongressSans-Light"/>
          <w:sz w:val="24"/>
          <w:szCs w:val="24"/>
          <w:lang w:val="en-US"/>
        </w:rPr>
        <w:t xml:space="preserve"> </w:t>
      </w:r>
      <w:r w:rsidR="007B7B59" w:rsidRPr="000D4E29">
        <w:rPr>
          <w:rFonts w:cs="StoneSans"/>
          <w:i/>
          <w:sz w:val="24"/>
          <w:szCs w:val="24"/>
          <w:lang w:val="en-US"/>
        </w:rPr>
        <w:t>British Journal of Clinical Pharmacology</w:t>
      </w:r>
      <w:r w:rsidR="007B7B59" w:rsidRPr="000D4E29">
        <w:rPr>
          <w:rFonts w:cs="StoneSans"/>
          <w:sz w:val="24"/>
          <w:szCs w:val="24"/>
          <w:lang w:val="en-US"/>
        </w:rPr>
        <w:t xml:space="preserve">, 2010; </w:t>
      </w:r>
      <w:r w:rsidR="007B7B59" w:rsidRPr="000D4E29">
        <w:rPr>
          <w:rFonts w:cs="StoneSans-Bold"/>
          <w:bCs/>
          <w:sz w:val="24"/>
          <w:szCs w:val="24"/>
          <w:lang w:val="en-US"/>
        </w:rPr>
        <w:t>70</w:t>
      </w:r>
      <w:r w:rsidR="007B7B59" w:rsidRPr="000D4E29">
        <w:rPr>
          <w:rFonts w:cs="StoneSans"/>
          <w:sz w:val="24"/>
          <w:szCs w:val="24"/>
          <w:lang w:val="en-US"/>
        </w:rPr>
        <w:t xml:space="preserve"> (3): 320–334</w:t>
      </w:r>
    </w:p>
    <w:p w:rsidR="00200CCF" w:rsidRPr="000D4E29" w:rsidRDefault="00200CCF" w:rsidP="000D4E29">
      <w:pPr>
        <w:autoSpaceDE w:val="0"/>
        <w:autoSpaceDN w:val="0"/>
        <w:adjustRightInd w:val="0"/>
        <w:spacing w:before="240" w:after="0" w:line="320" w:lineRule="atLeast"/>
        <w:jc w:val="both"/>
        <w:rPr>
          <w:rFonts w:cs="CongressSans-Light"/>
          <w:sz w:val="24"/>
          <w:szCs w:val="24"/>
          <w:lang w:val="en-US"/>
        </w:rPr>
      </w:pPr>
      <w:proofErr w:type="spellStart"/>
      <w:r w:rsidRPr="000D4E29">
        <w:rPr>
          <w:rFonts w:cs="CongressSans-Light"/>
          <w:sz w:val="24"/>
          <w:szCs w:val="24"/>
          <w:lang w:val="en-US"/>
        </w:rPr>
        <w:t>Deste</w:t>
      </w:r>
      <w:proofErr w:type="spellEnd"/>
      <w:r w:rsidRPr="000D4E29">
        <w:rPr>
          <w:rFonts w:cs="CongressSans-Light"/>
          <w:sz w:val="24"/>
          <w:szCs w:val="24"/>
          <w:lang w:val="en-US"/>
        </w:rPr>
        <w:t xml:space="preserve"> </w:t>
      </w:r>
      <w:proofErr w:type="spellStart"/>
      <w:r w:rsidRPr="000D4E29">
        <w:rPr>
          <w:rFonts w:cs="CongressSans-Light"/>
          <w:sz w:val="24"/>
          <w:szCs w:val="24"/>
          <w:lang w:val="en-US"/>
        </w:rPr>
        <w:t>artigo</w:t>
      </w:r>
      <w:proofErr w:type="spellEnd"/>
      <w:r w:rsidRPr="000D4E29">
        <w:rPr>
          <w:rFonts w:cs="CongressSans-Light"/>
          <w:sz w:val="24"/>
          <w:szCs w:val="24"/>
          <w:lang w:val="en-US"/>
        </w:rPr>
        <w:t xml:space="preserve"> </w:t>
      </w:r>
      <w:proofErr w:type="spellStart"/>
      <w:r w:rsidRPr="000D4E29">
        <w:rPr>
          <w:rFonts w:cs="CongressSans-Light"/>
          <w:sz w:val="24"/>
          <w:szCs w:val="24"/>
          <w:lang w:val="en-US"/>
        </w:rPr>
        <w:t>também</w:t>
      </w:r>
      <w:proofErr w:type="spellEnd"/>
      <w:r w:rsidRPr="000D4E29">
        <w:rPr>
          <w:rFonts w:cs="CongressSans-Light"/>
          <w:sz w:val="24"/>
          <w:szCs w:val="24"/>
          <w:lang w:val="en-US"/>
        </w:rPr>
        <w:t xml:space="preserve"> se </w:t>
      </w:r>
      <w:proofErr w:type="spellStart"/>
      <w:r w:rsidRPr="000D4E29">
        <w:rPr>
          <w:rFonts w:cs="CongressSans-Light"/>
          <w:sz w:val="24"/>
          <w:szCs w:val="24"/>
          <w:lang w:val="en-US"/>
        </w:rPr>
        <w:t>transcreve</w:t>
      </w:r>
      <w:proofErr w:type="spellEnd"/>
      <w:r w:rsidRPr="000D4E29">
        <w:rPr>
          <w:rFonts w:cs="CongressSans-Light"/>
          <w:sz w:val="24"/>
          <w:szCs w:val="24"/>
          <w:lang w:val="en-US"/>
        </w:rPr>
        <w:t xml:space="preserve"> o </w:t>
      </w:r>
      <w:proofErr w:type="spellStart"/>
      <w:r w:rsidRPr="000D4E29">
        <w:rPr>
          <w:rFonts w:cs="CongressSans-Light"/>
          <w:sz w:val="24"/>
          <w:szCs w:val="24"/>
          <w:lang w:val="en-US"/>
        </w:rPr>
        <w:t>respectivo</w:t>
      </w:r>
      <w:proofErr w:type="spellEnd"/>
      <w:r w:rsidRPr="000D4E29">
        <w:rPr>
          <w:rFonts w:cs="CongressSans-Light"/>
          <w:sz w:val="24"/>
          <w:szCs w:val="24"/>
          <w:lang w:val="en-US"/>
        </w:rPr>
        <w:t xml:space="preserve"> </w:t>
      </w:r>
      <w:proofErr w:type="spellStart"/>
      <w:r w:rsidRPr="000D4E29">
        <w:rPr>
          <w:rFonts w:cs="CongressSans-Light"/>
          <w:sz w:val="24"/>
          <w:szCs w:val="24"/>
          <w:lang w:val="en-US"/>
        </w:rPr>
        <w:t>resumo</w:t>
      </w:r>
      <w:proofErr w:type="spellEnd"/>
      <w:proofErr w:type="gramStart"/>
      <w:r w:rsidRPr="000D4E29">
        <w:rPr>
          <w:rFonts w:cs="CongressSans-Light"/>
          <w:sz w:val="24"/>
          <w:szCs w:val="24"/>
          <w:lang w:val="en-US"/>
        </w:rPr>
        <w:t>: ”</w:t>
      </w:r>
      <w:proofErr w:type="gramEnd"/>
      <w:r w:rsidRPr="000D4E29">
        <w:rPr>
          <w:rFonts w:cs="Myriad-Roman"/>
          <w:sz w:val="24"/>
          <w:szCs w:val="24"/>
          <w:lang w:val="en-US"/>
        </w:rPr>
        <w:t xml:space="preserve">Cost-containment measures in healthcare provision include the implementation of therapeutic and generic drug substitution strategies in patients whose condition is already well controlled with pharmacotherapy. Treatment for hypertension is frequently targeted for such measures. However, drug acquisition costs are only part of the cost-effectiveness equation, and a variety of other factors need to be taken into account when assessing the impact of switching </w:t>
      </w:r>
      <w:proofErr w:type="spellStart"/>
      <w:r w:rsidRPr="000D4E29">
        <w:rPr>
          <w:rFonts w:cs="Myriad-Roman"/>
          <w:sz w:val="24"/>
          <w:szCs w:val="24"/>
          <w:lang w:val="en-US"/>
        </w:rPr>
        <w:t>antihypertensives</w:t>
      </w:r>
      <w:proofErr w:type="spellEnd"/>
      <w:r w:rsidRPr="000D4E29">
        <w:rPr>
          <w:rFonts w:cs="Myriad-Roman"/>
          <w:sz w:val="24"/>
          <w:szCs w:val="24"/>
          <w:lang w:val="en-US"/>
        </w:rPr>
        <w:t xml:space="preserve">. From the clinical perspective, considerations include maintenance of an appropriate medication dose during the switching process; drug equivalence in terms of clinical effectiveness; and safety issues, including the diverse adverse-event profiles of available alternative drugs, differences in the ‘inactive’ components of drug formulations and the quality of generic formulations. Patients’ adherence to and persistence with therapy may be negatively influenced by switching, which will also impact on treatment effectiveness. From the economic perspective, the costs that are likely to be incurred by switching </w:t>
      </w:r>
      <w:proofErr w:type="spellStart"/>
      <w:r w:rsidRPr="000D4E29">
        <w:rPr>
          <w:rFonts w:cs="Myriad-Roman"/>
          <w:sz w:val="24"/>
          <w:szCs w:val="24"/>
          <w:lang w:val="en-US"/>
        </w:rPr>
        <w:t>antihypertensives</w:t>
      </w:r>
      <w:proofErr w:type="spellEnd"/>
      <w:r w:rsidRPr="000D4E29">
        <w:rPr>
          <w:rFonts w:cs="Myriad-Roman"/>
          <w:sz w:val="24"/>
          <w:szCs w:val="24"/>
          <w:lang w:val="en-US"/>
        </w:rPr>
        <w:t xml:space="preserve"> include those for additional clinic visits and laboratory tests, and for hospitalization if required to address problems arising from adverse events or poorly controlled hypertension. Indirect costs and the impact on patients’ quality of life also require assessment. Substitution strategies for </w:t>
      </w:r>
      <w:proofErr w:type="spellStart"/>
      <w:r w:rsidRPr="000D4E29">
        <w:rPr>
          <w:rFonts w:cs="Myriad-Roman"/>
          <w:sz w:val="24"/>
          <w:szCs w:val="24"/>
          <w:lang w:val="en-US"/>
        </w:rPr>
        <w:t>antihypertensives</w:t>
      </w:r>
      <w:proofErr w:type="spellEnd"/>
      <w:r w:rsidRPr="000D4E29">
        <w:rPr>
          <w:rFonts w:cs="Myriad-Roman"/>
          <w:sz w:val="24"/>
          <w:szCs w:val="24"/>
          <w:lang w:val="en-US"/>
        </w:rPr>
        <w:t xml:space="preserve"> have not been tested in large outcome trials and there is little available clinical or economic evidence on which to base decisions to switch drugs. Although the cost of treatment should always be considered, careful assessment of the human and economic costs and benefits of antihypertensive drug substitution is required before this practice is recommended.</w:t>
      </w:r>
      <w:r w:rsidRPr="000D4E29">
        <w:rPr>
          <w:rFonts w:cs="CongressSans-Light"/>
          <w:sz w:val="24"/>
          <w:szCs w:val="24"/>
          <w:lang w:val="en-US"/>
        </w:rPr>
        <w:t>”</w:t>
      </w:r>
    </w:p>
    <w:p w:rsidR="004C54F4" w:rsidRPr="000D4E29" w:rsidRDefault="004C54F4" w:rsidP="000D4E29">
      <w:pPr>
        <w:autoSpaceDE w:val="0"/>
        <w:autoSpaceDN w:val="0"/>
        <w:adjustRightInd w:val="0"/>
        <w:spacing w:before="240" w:after="0" w:line="320" w:lineRule="atLeast"/>
        <w:jc w:val="both"/>
        <w:rPr>
          <w:rFonts w:cs="CongressSans-Light"/>
          <w:sz w:val="24"/>
          <w:szCs w:val="24"/>
        </w:rPr>
      </w:pPr>
      <w:r w:rsidRPr="000D4E29">
        <w:rPr>
          <w:rFonts w:cs="CongressSans-Light"/>
          <w:sz w:val="24"/>
          <w:szCs w:val="24"/>
        </w:rPr>
        <w:t>Este artigo deve ser integralmente lido</w:t>
      </w:r>
      <w:r w:rsidR="00EF4575" w:rsidRPr="000D4E29">
        <w:rPr>
          <w:rFonts w:cs="CongressSans-Light"/>
          <w:sz w:val="24"/>
          <w:szCs w:val="24"/>
        </w:rPr>
        <w:t>. De forma exaustiva analisa</w:t>
      </w:r>
      <w:r w:rsidRPr="000D4E29">
        <w:rPr>
          <w:rFonts w:cs="CongressSans-Light"/>
          <w:sz w:val="24"/>
          <w:szCs w:val="24"/>
        </w:rPr>
        <w:t xml:space="preserve"> vários dos problemas dos medicamentos genéricos, dos quais referimos aqui apenas alguns:</w:t>
      </w:r>
    </w:p>
    <w:p w:rsidR="004C54F4" w:rsidRPr="000D4E29" w:rsidRDefault="004C54F4" w:rsidP="000D4E29">
      <w:pPr>
        <w:autoSpaceDE w:val="0"/>
        <w:autoSpaceDN w:val="0"/>
        <w:adjustRightInd w:val="0"/>
        <w:spacing w:before="240" w:after="0" w:line="320" w:lineRule="atLeast"/>
        <w:jc w:val="both"/>
        <w:rPr>
          <w:rFonts w:cs="CongressSans-Light"/>
          <w:sz w:val="24"/>
          <w:szCs w:val="24"/>
        </w:rPr>
      </w:pPr>
      <w:r w:rsidRPr="000D4E29">
        <w:rPr>
          <w:rFonts w:cs="CongressSans-Light"/>
          <w:sz w:val="24"/>
          <w:szCs w:val="24"/>
        </w:rPr>
        <w:t xml:space="preserve">- Os estudos de </w:t>
      </w:r>
      <w:proofErr w:type="spellStart"/>
      <w:r w:rsidRPr="000D4E29">
        <w:rPr>
          <w:rFonts w:cs="CongressSans-Light"/>
          <w:sz w:val="24"/>
          <w:szCs w:val="24"/>
        </w:rPr>
        <w:t>biodisponibilidade</w:t>
      </w:r>
      <w:proofErr w:type="spellEnd"/>
      <w:r w:rsidRPr="000D4E29">
        <w:rPr>
          <w:rFonts w:cs="CongressSans-Light"/>
          <w:sz w:val="24"/>
          <w:szCs w:val="24"/>
        </w:rPr>
        <w:t xml:space="preserve"> são feitos em adultos saudáveis dos 18 aos 55 anos, pelo que há um imenso leque de variabilidade que não é avaliado, nomeadamente os efeitos cumulativos, a insuficiência renal, a </w:t>
      </w:r>
      <w:proofErr w:type="spellStart"/>
      <w:r w:rsidRPr="000D4E29">
        <w:rPr>
          <w:rFonts w:cs="CongressSans-Light"/>
          <w:sz w:val="24"/>
          <w:szCs w:val="24"/>
        </w:rPr>
        <w:t>polipatologia</w:t>
      </w:r>
      <w:proofErr w:type="spellEnd"/>
      <w:r w:rsidRPr="000D4E29">
        <w:rPr>
          <w:rFonts w:cs="CongressSans-Light"/>
          <w:sz w:val="24"/>
          <w:szCs w:val="24"/>
        </w:rPr>
        <w:t xml:space="preserve"> e a </w:t>
      </w:r>
      <w:proofErr w:type="spellStart"/>
      <w:r w:rsidRPr="000D4E29">
        <w:rPr>
          <w:rFonts w:cs="CongressSans-Light"/>
          <w:sz w:val="24"/>
          <w:szCs w:val="24"/>
        </w:rPr>
        <w:t>polifarmácia</w:t>
      </w:r>
      <w:proofErr w:type="spellEnd"/>
      <w:r w:rsidRPr="000D4E29">
        <w:rPr>
          <w:rFonts w:cs="CongressSans-Light"/>
          <w:sz w:val="24"/>
          <w:szCs w:val="24"/>
        </w:rPr>
        <w:t>, etc.</w:t>
      </w:r>
    </w:p>
    <w:p w:rsidR="004C54F4" w:rsidRPr="000D4E29" w:rsidRDefault="004C54F4" w:rsidP="000D4E29">
      <w:pPr>
        <w:autoSpaceDE w:val="0"/>
        <w:autoSpaceDN w:val="0"/>
        <w:adjustRightInd w:val="0"/>
        <w:spacing w:before="240" w:after="0" w:line="320" w:lineRule="atLeast"/>
        <w:jc w:val="both"/>
        <w:rPr>
          <w:rFonts w:cs="CongressSans-Light"/>
          <w:sz w:val="24"/>
          <w:szCs w:val="24"/>
        </w:rPr>
      </w:pPr>
      <w:r w:rsidRPr="000D4E29">
        <w:rPr>
          <w:rFonts w:cs="CongressSans-Light"/>
          <w:sz w:val="24"/>
          <w:szCs w:val="24"/>
        </w:rPr>
        <w:t>- Diferenças ligadas ao método de fabrico, à formulação galénica, à estabilidade, aos excipientes e às impurezas não são devidamente analisados.</w:t>
      </w:r>
    </w:p>
    <w:p w:rsidR="00E43C67" w:rsidRPr="000D4E29" w:rsidRDefault="00E43C67" w:rsidP="000D4E29">
      <w:pPr>
        <w:autoSpaceDE w:val="0"/>
        <w:autoSpaceDN w:val="0"/>
        <w:adjustRightInd w:val="0"/>
        <w:spacing w:before="240" w:after="0" w:line="320" w:lineRule="atLeast"/>
        <w:jc w:val="both"/>
        <w:rPr>
          <w:rFonts w:cs="Myriad-Roman"/>
          <w:sz w:val="24"/>
          <w:szCs w:val="24"/>
        </w:rPr>
      </w:pPr>
      <w:r w:rsidRPr="000D4E29">
        <w:rPr>
          <w:rFonts w:cs="CongressSans-Light"/>
          <w:sz w:val="24"/>
          <w:szCs w:val="24"/>
        </w:rPr>
        <w:lastRenderedPageBreak/>
        <w:t>- A adesão do doente à terapêutica é afectada por mudanças sucessivas de marca</w:t>
      </w:r>
      <w:r w:rsidR="007045E9" w:rsidRPr="000D4E29">
        <w:rPr>
          <w:rFonts w:cs="CongressSans-Light"/>
          <w:sz w:val="24"/>
          <w:szCs w:val="24"/>
        </w:rPr>
        <w:t xml:space="preserve"> e o consumo de recursos de saúde pode aumentar</w:t>
      </w:r>
      <w:r w:rsidRPr="000D4E29">
        <w:rPr>
          <w:rFonts w:cs="CongressSans-Light"/>
          <w:sz w:val="24"/>
          <w:szCs w:val="24"/>
        </w:rPr>
        <w:t>.</w:t>
      </w:r>
    </w:p>
    <w:p w:rsidR="00AC0142" w:rsidRPr="000D4E29" w:rsidRDefault="00AC0142" w:rsidP="000D4E29">
      <w:pPr>
        <w:spacing w:before="240" w:after="0" w:line="320" w:lineRule="atLeast"/>
        <w:jc w:val="both"/>
        <w:rPr>
          <w:sz w:val="24"/>
          <w:szCs w:val="24"/>
          <w:lang w:val="en-US"/>
        </w:rPr>
      </w:pPr>
      <w:r w:rsidRPr="000D4E29">
        <w:rPr>
          <w:sz w:val="24"/>
          <w:szCs w:val="24"/>
        </w:rPr>
        <w:t xml:space="preserve">- Lima DM, dos Santos LD, Lima </w:t>
      </w:r>
      <w:proofErr w:type="gramStart"/>
      <w:r w:rsidRPr="000D4E29">
        <w:rPr>
          <w:sz w:val="24"/>
          <w:szCs w:val="24"/>
        </w:rPr>
        <w:t>EM</w:t>
      </w:r>
      <w:proofErr w:type="gramEnd"/>
      <w:r w:rsidRPr="000D4E29">
        <w:rPr>
          <w:sz w:val="24"/>
          <w:szCs w:val="24"/>
        </w:rPr>
        <w:t xml:space="preserve">. </w:t>
      </w:r>
      <w:r w:rsidRPr="000D4E29">
        <w:rPr>
          <w:sz w:val="24"/>
          <w:szCs w:val="24"/>
          <w:lang w:val="en-US"/>
        </w:rPr>
        <w:t xml:space="preserve">“Stability and in vitro release profile of </w:t>
      </w:r>
      <w:proofErr w:type="spellStart"/>
      <w:r w:rsidRPr="000D4E29">
        <w:rPr>
          <w:sz w:val="24"/>
          <w:szCs w:val="24"/>
          <w:lang w:val="en-US"/>
        </w:rPr>
        <w:t>enalapril</w:t>
      </w:r>
      <w:proofErr w:type="spellEnd"/>
      <w:r w:rsidRPr="000D4E29">
        <w:rPr>
          <w:sz w:val="24"/>
          <w:szCs w:val="24"/>
          <w:lang w:val="en-US"/>
        </w:rPr>
        <w:t xml:space="preserve"> </w:t>
      </w:r>
      <w:proofErr w:type="spellStart"/>
      <w:r w:rsidRPr="000D4E29">
        <w:rPr>
          <w:sz w:val="24"/>
          <w:szCs w:val="24"/>
          <w:lang w:val="en-US"/>
        </w:rPr>
        <w:t>maleate</w:t>
      </w:r>
      <w:proofErr w:type="spellEnd"/>
      <w:r w:rsidRPr="000D4E29">
        <w:rPr>
          <w:sz w:val="24"/>
          <w:szCs w:val="24"/>
          <w:lang w:val="en-US"/>
        </w:rPr>
        <w:t xml:space="preserve"> from different commercially available tablets: possible therapeutic implications”. </w:t>
      </w:r>
      <w:proofErr w:type="gramStart"/>
      <w:r w:rsidRPr="000D4E29">
        <w:rPr>
          <w:sz w:val="24"/>
          <w:szCs w:val="24"/>
          <w:lang w:val="en-US"/>
        </w:rPr>
        <w:t xml:space="preserve">J </w:t>
      </w:r>
      <w:proofErr w:type="spellStart"/>
      <w:r w:rsidRPr="000D4E29">
        <w:rPr>
          <w:sz w:val="24"/>
          <w:szCs w:val="24"/>
          <w:lang w:val="en-US"/>
        </w:rPr>
        <w:t>Pharm</w:t>
      </w:r>
      <w:proofErr w:type="spellEnd"/>
      <w:r w:rsidRPr="000D4E29">
        <w:rPr>
          <w:sz w:val="24"/>
          <w:szCs w:val="24"/>
          <w:lang w:val="en-US"/>
        </w:rPr>
        <w:t xml:space="preserve"> Biomed Anal, 2008; 47: 934-7.</w:t>
      </w:r>
      <w:proofErr w:type="gramEnd"/>
    </w:p>
    <w:p w:rsidR="00923890" w:rsidRPr="000D4E29" w:rsidRDefault="00AC0142" w:rsidP="000D4E29">
      <w:pPr>
        <w:spacing w:before="240" w:after="0" w:line="320" w:lineRule="atLeast"/>
        <w:jc w:val="both"/>
        <w:rPr>
          <w:sz w:val="24"/>
          <w:szCs w:val="24"/>
          <w:lang w:val="en-US"/>
        </w:rPr>
      </w:pPr>
      <w:r w:rsidRPr="000D4E29">
        <w:rPr>
          <w:sz w:val="24"/>
          <w:szCs w:val="24"/>
          <w:lang w:val="en-US"/>
        </w:rPr>
        <w:t xml:space="preserve">O abstract </w:t>
      </w:r>
      <w:proofErr w:type="spellStart"/>
      <w:r w:rsidRPr="000D4E29">
        <w:rPr>
          <w:sz w:val="24"/>
          <w:szCs w:val="24"/>
          <w:lang w:val="en-US"/>
        </w:rPr>
        <w:t>deste</w:t>
      </w:r>
      <w:proofErr w:type="spellEnd"/>
      <w:r w:rsidRPr="000D4E29">
        <w:rPr>
          <w:sz w:val="24"/>
          <w:szCs w:val="24"/>
          <w:lang w:val="en-US"/>
        </w:rPr>
        <w:t xml:space="preserve"> </w:t>
      </w:r>
      <w:proofErr w:type="spellStart"/>
      <w:r w:rsidRPr="000D4E29">
        <w:rPr>
          <w:sz w:val="24"/>
          <w:szCs w:val="24"/>
          <w:lang w:val="en-US"/>
        </w:rPr>
        <w:t>artigo</w:t>
      </w:r>
      <w:proofErr w:type="spellEnd"/>
      <w:r w:rsidRPr="000D4E29">
        <w:rPr>
          <w:sz w:val="24"/>
          <w:szCs w:val="24"/>
          <w:lang w:val="en-US"/>
        </w:rPr>
        <w:t xml:space="preserve"> </w:t>
      </w:r>
      <w:proofErr w:type="spellStart"/>
      <w:r w:rsidRPr="000D4E29">
        <w:rPr>
          <w:sz w:val="24"/>
          <w:szCs w:val="24"/>
          <w:lang w:val="en-US"/>
        </w:rPr>
        <w:t>fala</w:t>
      </w:r>
      <w:proofErr w:type="spellEnd"/>
      <w:r w:rsidRPr="000D4E29">
        <w:rPr>
          <w:sz w:val="24"/>
          <w:szCs w:val="24"/>
          <w:lang w:val="en-US"/>
        </w:rPr>
        <w:t xml:space="preserve"> </w:t>
      </w:r>
      <w:proofErr w:type="spellStart"/>
      <w:r w:rsidRPr="000D4E29">
        <w:rPr>
          <w:sz w:val="24"/>
          <w:szCs w:val="24"/>
          <w:lang w:val="en-US"/>
        </w:rPr>
        <w:t>por</w:t>
      </w:r>
      <w:proofErr w:type="spellEnd"/>
      <w:r w:rsidRPr="000D4E29">
        <w:rPr>
          <w:sz w:val="24"/>
          <w:szCs w:val="24"/>
          <w:lang w:val="en-US"/>
        </w:rPr>
        <w:t xml:space="preserve"> </w:t>
      </w:r>
      <w:proofErr w:type="spellStart"/>
      <w:r w:rsidRPr="000D4E29">
        <w:rPr>
          <w:sz w:val="24"/>
          <w:szCs w:val="24"/>
          <w:lang w:val="en-US"/>
        </w:rPr>
        <w:t>si</w:t>
      </w:r>
      <w:proofErr w:type="spellEnd"/>
      <w:r w:rsidRPr="000D4E29">
        <w:rPr>
          <w:sz w:val="24"/>
          <w:szCs w:val="24"/>
          <w:lang w:val="en-US"/>
        </w:rPr>
        <w:t xml:space="preserve">: “Stability of </w:t>
      </w:r>
      <w:proofErr w:type="spellStart"/>
      <w:r w:rsidRPr="000D4E29">
        <w:rPr>
          <w:sz w:val="24"/>
          <w:szCs w:val="24"/>
          <w:lang w:val="en-US"/>
        </w:rPr>
        <w:t>enalapril</w:t>
      </w:r>
      <w:proofErr w:type="spellEnd"/>
      <w:r w:rsidRPr="000D4E29">
        <w:rPr>
          <w:sz w:val="24"/>
          <w:szCs w:val="24"/>
          <w:lang w:val="en-US"/>
        </w:rPr>
        <w:t xml:space="preserve"> </w:t>
      </w:r>
      <w:proofErr w:type="spellStart"/>
      <w:r w:rsidRPr="000D4E29">
        <w:rPr>
          <w:sz w:val="24"/>
          <w:szCs w:val="24"/>
          <w:lang w:val="en-US"/>
        </w:rPr>
        <w:t>maleate</w:t>
      </w:r>
      <w:proofErr w:type="spellEnd"/>
      <w:r w:rsidRPr="000D4E29">
        <w:rPr>
          <w:sz w:val="24"/>
          <w:szCs w:val="24"/>
          <w:lang w:val="en-US"/>
        </w:rPr>
        <w:t xml:space="preserve"> formulations can be affected when the product is exposed to higher temperature and humidity, with the formation of two main degradation products: </w:t>
      </w:r>
      <w:proofErr w:type="spellStart"/>
      <w:r w:rsidRPr="000D4E29">
        <w:rPr>
          <w:sz w:val="24"/>
          <w:szCs w:val="24"/>
          <w:lang w:val="en-US"/>
        </w:rPr>
        <w:t>enalaprilat</w:t>
      </w:r>
      <w:proofErr w:type="spellEnd"/>
      <w:r w:rsidRPr="000D4E29">
        <w:rPr>
          <w:sz w:val="24"/>
          <w:szCs w:val="24"/>
          <w:lang w:val="en-US"/>
        </w:rPr>
        <w:t xml:space="preserve"> and a </w:t>
      </w:r>
      <w:proofErr w:type="spellStart"/>
      <w:r w:rsidRPr="000D4E29">
        <w:rPr>
          <w:sz w:val="24"/>
          <w:szCs w:val="24"/>
          <w:lang w:val="en-US"/>
        </w:rPr>
        <w:t>diketopiperazine</w:t>
      </w:r>
      <w:proofErr w:type="spellEnd"/>
      <w:r w:rsidRPr="000D4E29">
        <w:rPr>
          <w:sz w:val="24"/>
          <w:szCs w:val="24"/>
          <w:lang w:val="en-US"/>
        </w:rPr>
        <w:t xml:space="preserve"> derivative. In this work, stability and drug release profiles of 20 mg </w:t>
      </w:r>
      <w:proofErr w:type="spellStart"/>
      <w:r w:rsidRPr="000D4E29">
        <w:rPr>
          <w:sz w:val="24"/>
          <w:szCs w:val="24"/>
          <w:lang w:val="en-US"/>
        </w:rPr>
        <w:t>enalapril</w:t>
      </w:r>
      <w:proofErr w:type="spellEnd"/>
      <w:r w:rsidRPr="000D4E29">
        <w:rPr>
          <w:sz w:val="24"/>
          <w:szCs w:val="24"/>
          <w:lang w:val="en-US"/>
        </w:rPr>
        <w:t xml:space="preserve"> </w:t>
      </w:r>
      <w:proofErr w:type="spellStart"/>
      <w:r w:rsidRPr="000D4E29">
        <w:rPr>
          <w:sz w:val="24"/>
          <w:szCs w:val="24"/>
          <w:lang w:val="en-US"/>
        </w:rPr>
        <w:t>maleate</w:t>
      </w:r>
      <w:proofErr w:type="spellEnd"/>
      <w:r w:rsidRPr="000D4E29">
        <w:rPr>
          <w:sz w:val="24"/>
          <w:szCs w:val="24"/>
          <w:lang w:val="en-US"/>
        </w:rPr>
        <w:t xml:space="preserve"> tablets (reference, generic and similar products) were evaluated. After 180 days of the accelerated stability testing, most products did not exhibit the specified amount of drug. Additionally, drug release profiles were markedly different from that of the reference product, mainly due to drug degradation. Changes in drug concentration and drug release profile of </w:t>
      </w:r>
      <w:proofErr w:type="spellStart"/>
      <w:r w:rsidRPr="000D4E29">
        <w:rPr>
          <w:sz w:val="24"/>
          <w:szCs w:val="24"/>
          <w:lang w:val="en-US"/>
        </w:rPr>
        <w:t>enalapril</w:t>
      </w:r>
      <w:proofErr w:type="spellEnd"/>
      <w:r w:rsidRPr="000D4E29">
        <w:rPr>
          <w:sz w:val="24"/>
          <w:szCs w:val="24"/>
          <w:lang w:val="en-US"/>
        </w:rPr>
        <w:t xml:space="preserve"> formulations are strong indicators of a compromised bioavailability, with possible interferences on the therapeutic response for this drug”.</w:t>
      </w:r>
    </w:p>
    <w:p w:rsidR="0087333E" w:rsidRPr="000D4E29" w:rsidRDefault="0087333E" w:rsidP="000D4E29">
      <w:pPr>
        <w:spacing w:before="240" w:after="0" w:line="320" w:lineRule="atLeast"/>
        <w:jc w:val="both"/>
        <w:rPr>
          <w:sz w:val="24"/>
          <w:szCs w:val="24"/>
        </w:rPr>
      </w:pPr>
      <w:r w:rsidRPr="000D4E29">
        <w:rPr>
          <w:sz w:val="24"/>
          <w:szCs w:val="24"/>
          <w:lang w:val="en-US"/>
        </w:rPr>
        <w:t xml:space="preserve">- Vial J, Cohen M, </w:t>
      </w:r>
      <w:proofErr w:type="spellStart"/>
      <w:r w:rsidRPr="000D4E29">
        <w:rPr>
          <w:sz w:val="24"/>
          <w:szCs w:val="24"/>
          <w:lang w:val="en-US"/>
        </w:rPr>
        <w:t>Sassiat</w:t>
      </w:r>
      <w:proofErr w:type="spellEnd"/>
      <w:r w:rsidRPr="000D4E29">
        <w:rPr>
          <w:sz w:val="24"/>
          <w:szCs w:val="24"/>
          <w:lang w:val="en-US"/>
        </w:rPr>
        <w:t xml:space="preserve"> P, </w:t>
      </w:r>
      <w:proofErr w:type="spellStart"/>
      <w:proofErr w:type="gramStart"/>
      <w:r w:rsidRPr="000D4E29">
        <w:rPr>
          <w:sz w:val="24"/>
          <w:szCs w:val="24"/>
          <w:lang w:val="en-US"/>
        </w:rPr>
        <w:t>Thiébaut</w:t>
      </w:r>
      <w:proofErr w:type="spellEnd"/>
      <w:proofErr w:type="gramEnd"/>
      <w:r w:rsidRPr="000D4E29">
        <w:rPr>
          <w:sz w:val="24"/>
          <w:szCs w:val="24"/>
          <w:lang w:val="en-US"/>
        </w:rPr>
        <w:t xml:space="preserve"> D. “Pharmaceutical quality of </w:t>
      </w:r>
      <w:proofErr w:type="spellStart"/>
      <w:r w:rsidRPr="000D4E29">
        <w:rPr>
          <w:sz w:val="24"/>
          <w:szCs w:val="24"/>
          <w:lang w:val="en-US"/>
        </w:rPr>
        <w:t>docetaxel</w:t>
      </w:r>
      <w:proofErr w:type="spellEnd"/>
      <w:r w:rsidRPr="000D4E29">
        <w:rPr>
          <w:sz w:val="24"/>
          <w:szCs w:val="24"/>
          <w:lang w:val="en-US"/>
        </w:rPr>
        <w:t xml:space="preserve"> generics versus originator drug product: a comparative analysis”. </w:t>
      </w:r>
      <w:proofErr w:type="spellStart"/>
      <w:r w:rsidRPr="000D4E29">
        <w:rPr>
          <w:sz w:val="24"/>
          <w:szCs w:val="24"/>
        </w:rPr>
        <w:t>Curr</w:t>
      </w:r>
      <w:proofErr w:type="spellEnd"/>
      <w:r w:rsidRPr="000D4E29">
        <w:rPr>
          <w:sz w:val="24"/>
          <w:szCs w:val="24"/>
        </w:rPr>
        <w:t xml:space="preserve"> Med </w:t>
      </w:r>
      <w:proofErr w:type="spellStart"/>
      <w:r w:rsidRPr="000D4E29">
        <w:rPr>
          <w:sz w:val="24"/>
          <w:szCs w:val="24"/>
        </w:rPr>
        <w:t>Res</w:t>
      </w:r>
      <w:proofErr w:type="spellEnd"/>
      <w:r w:rsidRPr="000D4E29">
        <w:rPr>
          <w:sz w:val="24"/>
          <w:szCs w:val="24"/>
        </w:rPr>
        <w:t xml:space="preserve"> </w:t>
      </w:r>
      <w:proofErr w:type="spellStart"/>
      <w:r w:rsidRPr="000D4E29">
        <w:rPr>
          <w:sz w:val="24"/>
          <w:szCs w:val="24"/>
        </w:rPr>
        <w:t>Opin</w:t>
      </w:r>
      <w:proofErr w:type="spellEnd"/>
      <w:r w:rsidRPr="000D4E29">
        <w:rPr>
          <w:sz w:val="24"/>
          <w:szCs w:val="24"/>
        </w:rPr>
        <w:t xml:space="preserve">, 2008; 24: 2019-33 </w:t>
      </w:r>
    </w:p>
    <w:p w:rsidR="0087333E" w:rsidRPr="000D4E29" w:rsidRDefault="0087333E" w:rsidP="000D4E29">
      <w:pPr>
        <w:spacing w:before="240" w:after="0" w:line="320" w:lineRule="atLeast"/>
        <w:jc w:val="both"/>
        <w:rPr>
          <w:sz w:val="24"/>
          <w:szCs w:val="24"/>
          <w:lang w:val="en-US"/>
        </w:rPr>
      </w:pPr>
      <w:r w:rsidRPr="000D4E29">
        <w:rPr>
          <w:sz w:val="24"/>
          <w:szCs w:val="24"/>
        </w:rPr>
        <w:t xml:space="preserve">O </w:t>
      </w:r>
      <w:proofErr w:type="spellStart"/>
      <w:r w:rsidRPr="000D4E29">
        <w:rPr>
          <w:sz w:val="24"/>
          <w:szCs w:val="24"/>
        </w:rPr>
        <w:t>docetaxel</w:t>
      </w:r>
      <w:proofErr w:type="spellEnd"/>
      <w:r w:rsidRPr="000D4E29">
        <w:rPr>
          <w:sz w:val="24"/>
          <w:szCs w:val="24"/>
        </w:rPr>
        <w:t xml:space="preserve"> é um fármaco usado na terapêutica do cancro, particularmente da mama. </w:t>
      </w:r>
      <w:r w:rsidRPr="000D4E29">
        <w:rPr>
          <w:sz w:val="24"/>
          <w:szCs w:val="24"/>
          <w:lang w:val="en-US"/>
        </w:rPr>
        <w:t xml:space="preserve">Do </w:t>
      </w:r>
      <w:proofErr w:type="spellStart"/>
      <w:r w:rsidRPr="000D4E29">
        <w:rPr>
          <w:sz w:val="24"/>
          <w:szCs w:val="24"/>
          <w:lang w:val="en-US"/>
        </w:rPr>
        <w:t>resumo</w:t>
      </w:r>
      <w:proofErr w:type="spellEnd"/>
      <w:r w:rsidRPr="000D4E29">
        <w:rPr>
          <w:sz w:val="24"/>
          <w:szCs w:val="24"/>
          <w:lang w:val="en-US"/>
        </w:rPr>
        <w:t xml:space="preserve"> </w:t>
      </w:r>
      <w:proofErr w:type="spellStart"/>
      <w:r w:rsidRPr="000D4E29">
        <w:rPr>
          <w:sz w:val="24"/>
          <w:szCs w:val="24"/>
          <w:lang w:val="en-US"/>
        </w:rPr>
        <w:t>transcreve</w:t>
      </w:r>
      <w:proofErr w:type="spellEnd"/>
      <w:r w:rsidRPr="000D4E29">
        <w:rPr>
          <w:sz w:val="24"/>
          <w:szCs w:val="24"/>
          <w:lang w:val="en-US"/>
        </w:rPr>
        <w:t>-</w:t>
      </w:r>
      <w:proofErr w:type="spellStart"/>
      <w:r w:rsidRPr="000D4E29">
        <w:rPr>
          <w:sz w:val="24"/>
          <w:szCs w:val="24"/>
          <w:lang w:val="en-US"/>
        </w:rPr>
        <w:t xml:space="preserve">se </w:t>
      </w:r>
      <w:proofErr w:type="gramStart"/>
      <w:r w:rsidRPr="000D4E29">
        <w:rPr>
          <w:sz w:val="24"/>
          <w:szCs w:val="24"/>
          <w:lang w:val="en-US"/>
        </w:rPr>
        <w:t>a</w:t>
      </w:r>
      <w:proofErr w:type="spellEnd"/>
      <w:proofErr w:type="gramEnd"/>
      <w:r w:rsidRPr="000D4E29">
        <w:rPr>
          <w:sz w:val="24"/>
          <w:szCs w:val="24"/>
          <w:lang w:val="en-US"/>
        </w:rPr>
        <w:t xml:space="preserve"> </w:t>
      </w:r>
      <w:proofErr w:type="spellStart"/>
      <w:r w:rsidRPr="000D4E29">
        <w:rPr>
          <w:sz w:val="24"/>
          <w:szCs w:val="24"/>
          <w:lang w:val="en-US"/>
        </w:rPr>
        <w:t>introdução</w:t>
      </w:r>
      <w:proofErr w:type="spellEnd"/>
      <w:r w:rsidRPr="000D4E29">
        <w:rPr>
          <w:sz w:val="24"/>
          <w:szCs w:val="24"/>
          <w:lang w:val="en-US"/>
        </w:rPr>
        <w:t xml:space="preserve"> e a </w:t>
      </w:r>
      <w:proofErr w:type="spellStart"/>
      <w:r w:rsidRPr="000D4E29">
        <w:rPr>
          <w:sz w:val="24"/>
          <w:szCs w:val="24"/>
          <w:lang w:val="en-US"/>
        </w:rPr>
        <w:t>paradigmática</w:t>
      </w:r>
      <w:proofErr w:type="spellEnd"/>
      <w:r w:rsidRPr="000D4E29">
        <w:rPr>
          <w:sz w:val="24"/>
          <w:szCs w:val="24"/>
          <w:lang w:val="en-US"/>
        </w:rPr>
        <w:t xml:space="preserve"> </w:t>
      </w:r>
      <w:proofErr w:type="spellStart"/>
      <w:r w:rsidRPr="000D4E29">
        <w:rPr>
          <w:sz w:val="24"/>
          <w:szCs w:val="24"/>
          <w:lang w:val="en-US"/>
        </w:rPr>
        <w:t>conclusão</w:t>
      </w:r>
      <w:proofErr w:type="spellEnd"/>
      <w:r w:rsidRPr="000D4E29">
        <w:rPr>
          <w:sz w:val="24"/>
          <w:szCs w:val="24"/>
          <w:lang w:val="en-US"/>
        </w:rPr>
        <w:t xml:space="preserve">: INTRODUCTION: The aim of this study was to evaluate the quality of 31 commercially available generic formulations of </w:t>
      </w:r>
      <w:proofErr w:type="spellStart"/>
      <w:r w:rsidRPr="000D4E29">
        <w:rPr>
          <w:sz w:val="24"/>
          <w:szCs w:val="24"/>
          <w:lang w:val="en-US"/>
        </w:rPr>
        <w:t>docetaxel</w:t>
      </w:r>
      <w:proofErr w:type="spellEnd"/>
      <w:r w:rsidRPr="000D4E29">
        <w:rPr>
          <w:sz w:val="24"/>
          <w:szCs w:val="24"/>
          <w:lang w:val="en-US"/>
        </w:rPr>
        <w:t xml:space="preserve"> purchased in 14 countries by comparing their </w:t>
      </w:r>
      <w:proofErr w:type="spellStart"/>
      <w:r w:rsidRPr="000D4E29">
        <w:rPr>
          <w:sz w:val="24"/>
          <w:szCs w:val="24"/>
          <w:lang w:val="en-US"/>
        </w:rPr>
        <w:t>docetaxel</w:t>
      </w:r>
      <w:proofErr w:type="spellEnd"/>
      <w:r w:rsidRPr="000D4E29">
        <w:rPr>
          <w:sz w:val="24"/>
          <w:szCs w:val="24"/>
          <w:lang w:val="en-US"/>
        </w:rPr>
        <w:t xml:space="preserve"> content, impurity levels and pH versus those of the proprietary product </w:t>
      </w:r>
      <w:proofErr w:type="spellStart"/>
      <w:r w:rsidRPr="000D4E29">
        <w:rPr>
          <w:sz w:val="24"/>
          <w:szCs w:val="24"/>
          <w:lang w:val="en-US"/>
        </w:rPr>
        <w:t>Taxotere</w:t>
      </w:r>
      <w:proofErr w:type="spellEnd"/>
      <w:r w:rsidRPr="000D4E29">
        <w:rPr>
          <w:sz w:val="24"/>
          <w:szCs w:val="24"/>
          <w:lang w:val="en-US"/>
        </w:rPr>
        <w:t xml:space="preserve"> (</w:t>
      </w:r>
      <w:proofErr w:type="spellStart"/>
      <w:r w:rsidRPr="000D4E29">
        <w:rPr>
          <w:sz w:val="24"/>
          <w:szCs w:val="24"/>
          <w:lang w:val="en-US"/>
        </w:rPr>
        <w:t>Tx</w:t>
      </w:r>
      <w:proofErr w:type="spellEnd"/>
      <w:r w:rsidRPr="000D4E29">
        <w:rPr>
          <w:sz w:val="24"/>
          <w:szCs w:val="24"/>
          <w:lang w:val="en-US"/>
        </w:rPr>
        <w:t xml:space="preserve">). CONCLUSIONS: This study demonstrated that from an analytical point of view, 90% of the generic </w:t>
      </w:r>
      <w:proofErr w:type="spellStart"/>
      <w:r w:rsidRPr="000D4E29">
        <w:rPr>
          <w:sz w:val="24"/>
          <w:szCs w:val="24"/>
          <w:lang w:val="en-US"/>
        </w:rPr>
        <w:t>docetaxel</w:t>
      </w:r>
      <w:proofErr w:type="spellEnd"/>
      <w:r w:rsidRPr="000D4E29">
        <w:rPr>
          <w:sz w:val="24"/>
          <w:szCs w:val="24"/>
          <w:lang w:val="en-US"/>
        </w:rPr>
        <w:t xml:space="preserve"> formulations evaluated contained insufficient active drug, high levels of impurities or both. This has the potential to affect both efficacy and safety of the drug.</w:t>
      </w:r>
    </w:p>
    <w:p w:rsidR="00113B05" w:rsidRDefault="00113B05" w:rsidP="000D4E29">
      <w:pPr>
        <w:spacing w:before="240" w:after="0" w:line="320" w:lineRule="atLeast"/>
        <w:jc w:val="both"/>
        <w:rPr>
          <w:sz w:val="24"/>
          <w:szCs w:val="24"/>
          <w:lang w:val="en-US"/>
        </w:rPr>
      </w:pPr>
      <w:r w:rsidRPr="000D4E29">
        <w:rPr>
          <w:sz w:val="24"/>
          <w:szCs w:val="24"/>
          <w:lang w:val="en-US"/>
        </w:rPr>
        <w:t xml:space="preserve">- </w:t>
      </w:r>
      <w:proofErr w:type="spellStart"/>
      <w:r w:rsidRPr="000D4E29">
        <w:rPr>
          <w:sz w:val="24"/>
          <w:szCs w:val="24"/>
          <w:lang w:val="en-US"/>
        </w:rPr>
        <w:t>Hellström</w:t>
      </w:r>
      <w:proofErr w:type="spellEnd"/>
      <w:r w:rsidRPr="000D4E29">
        <w:rPr>
          <w:sz w:val="24"/>
          <w:szCs w:val="24"/>
          <w:lang w:val="en-US"/>
        </w:rPr>
        <w:t xml:space="preserve"> J, </w:t>
      </w:r>
      <w:proofErr w:type="spellStart"/>
      <w:r w:rsidRPr="000D4E29">
        <w:rPr>
          <w:sz w:val="24"/>
          <w:szCs w:val="24"/>
          <w:lang w:val="en-US"/>
        </w:rPr>
        <w:t>Rudholm</w:t>
      </w:r>
      <w:proofErr w:type="spellEnd"/>
      <w:r w:rsidRPr="000D4E29">
        <w:rPr>
          <w:sz w:val="24"/>
          <w:szCs w:val="24"/>
          <w:lang w:val="en-US"/>
        </w:rPr>
        <w:t xml:space="preserve"> N. “Side effects of generic competition?” </w:t>
      </w:r>
      <w:proofErr w:type="spellStart"/>
      <w:r w:rsidRPr="000D4E29">
        <w:rPr>
          <w:sz w:val="24"/>
          <w:szCs w:val="24"/>
          <w:lang w:val="en-US"/>
        </w:rPr>
        <w:t>Eur</w:t>
      </w:r>
      <w:proofErr w:type="spellEnd"/>
      <w:r w:rsidRPr="000D4E29">
        <w:rPr>
          <w:sz w:val="24"/>
          <w:szCs w:val="24"/>
          <w:lang w:val="en-US"/>
        </w:rPr>
        <w:t xml:space="preserve"> J Health Econ, 2004; 5: 203-8. This study examined the relationship between generic drug market shares and the number of reported side effects. Yearly time-series data for the number of reported side effects and information on market shares, prices, and quantities from 1972 to 1996 were used in this study. Poisson and negative binomial regression models were used in the statistical analysis. The results show that increased generic market share increases the numbe</w:t>
      </w:r>
      <w:r w:rsidR="00EF4575" w:rsidRPr="000D4E29">
        <w:rPr>
          <w:sz w:val="24"/>
          <w:szCs w:val="24"/>
          <w:lang w:val="en-US"/>
        </w:rPr>
        <w:t>r of reported side effects for</w:t>
      </w:r>
      <w:r w:rsidRPr="000D4E29">
        <w:rPr>
          <w:sz w:val="24"/>
          <w:szCs w:val="24"/>
          <w:lang w:val="en-US"/>
        </w:rPr>
        <w:t xml:space="preserve"> all estimated models. When studying the relationship at the substance level, increasing generic market shares increases the number of side effects for 7 of the 15 substances. Generic substitution laws and measures to increase generic competition may thus have unintended consequences since these results show a positive relationship between generic market shares and reported side effects.</w:t>
      </w:r>
    </w:p>
    <w:p w:rsidR="001C2ED8" w:rsidRDefault="001C2ED8" w:rsidP="001C2ED8">
      <w:pPr>
        <w:spacing w:before="240" w:after="0" w:line="320" w:lineRule="atLeast"/>
        <w:jc w:val="both"/>
        <w:rPr>
          <w:sz w:val="24"/>
          <w:szCs w:val="24"/>
          <w:lang w:val="en-US"/>
        </w:rPr>
      </w:pPr>
      <w:r>
        <w:rPr>
          <w:sz w:val="24"/>
          <w:szCs w:val="24"/>
          <w:lang w:val="en-US"/>
        </w:rPr>
        <w:t xml:space="preserve">- </w:t>
      </w:r>
      <w:proofErr w:type="spellStart"/>
      <w:r>
        <w:rPr>
          <w:sz w:val="24"/>
          <w:szCs w:val="24"/>
          <w:lang w:val="en-US"/>
        </w:rPr>
        <w:t>Helderman</w:t>
      </w:r>
      <w:proofErr w:type="spellEnd"/>
      <w:r>
        <w:rPr>
          <w:sz w:val="24"/>
          <w:szCs w:val="24"/>
          <w:lang w:val="en-US"/>
        </w:rPr>
        <w:t xml:space="preserve"> J</w:t>
      </w:r>
      <w:r w:rsidRPr="001C2ED8">
        <w:rPr>
          <w:sz w:val="24"/>
          <w:szCs w:val="24"/>
          <w:lang w:val="en-US"/>
        </w:rPr>
        <w:t>,</w:t>
      </w:r>
      <w:r>
        <w:rPr>
          <w:sz w:val="24"/>
          <w:szCs w:val="24"/>
          <w:lang w:val="en-US"/>
        </w:rPr>
        <w:t xml:space="preserve"> Kang N, </w:t>
      </w:r>
      <w:proofErr w:type="spellStart"/>
      <w:r>
        <w:rPr>
          <w:sz w:val="24"/>
          <w:szCs w:val="24"/>
          <w:lang w:val="en-US"/>
        </w:rPr>
        <w:t>Legorreta</w:t>
      </w:r>
      <w:proofErr w:type="spellEnd"/>
      <w:r>
        <w:rPr>
          <w:sz w:val="24"/>
          <w:szCs w:val="24"/>
          <w:lang w:val="en-US"/>
        </w:rPr>
        <w:t xml:space="preserve"> A, Chen J. </w:t>
      </w:r>
      <w:r w:rsidRPr="001C2ED8">
        <w:rPr>
          <w:sz w:val="24"/>
          <w:szCs w:val="24"/>
          <w:lang w:val="en-US"/>
        </w:rPr>
        <w:t>Healthcare costs in renal transplant recipien</w:t>
      </w:r>
      <w:r>
        <w:rPr>
          <w:sz w:val="24"/>
          <w:szCs w:val="24"/>
          <w:lang w:val="en-US"/>
        </w:rPr>
        <w:t xml:space="preserve">ts using branded versus generic </w:t>
      </w:r>
      <w:proofErr w:type="spellStart"/>
      <w:r w:rsidRPr="001C2ED8">
        <w:rPr>
          <w:sz w:val="24"/>
          <w:szCs w:val="24"/>
          <w:lang w:val="en-US"/>
        </w:rPr>
        <w:t>ciclosporin</w:t>
      </w:r>
      <w:proofErr w:type="spellEnd"/>
      <w:r>
        <w:rPr>
          <w:sz w:val="24"/>
          <w:szCs w:val="24"/>
          <w:lang w:val="en-US"/>
        </w:rPr>
        <w:t>”</w:t>
      </w:r>
      <w:r w:rsidRPr="001C2ED8">
        <w:rPr>
          <w:sz w:val="24"/>
          <w:szCs w:val="24"/>
          <w:lang w:val="en-US"/>
        </w:rPr>
        <w:t>.</w:t>
      </w:r>
      <w:r>
        <w:rPr>
          <w:sz w:val="24"/>
          <w:szCs w:val="24"/>
          <w:lang w:val="en-US"/>
        </w:rPr>
        <w:t xml:space="preserve"> </w:t>
      </w:r>
      <w:proofErr w:type="spellStart"/>
      <w:r>
        <w:rPr>
          <w:sz w:val="24"/>
          <w:szCs w:val="24"/>
          <w:lang w:val="en-US"/>
        </w:rPr>
        <w:t>Appl</w:t>
      </w:r>
      <w:proofErr w:type="spellEnd"/>
      <w:r>
        <w:rPr>
          <w:sz w:val="24"/>
          <w:szCs w:val="24"/>
          <w:lang w:val="en-US"/>
        </w:rPr>
        <w:t xml:space="preserve"> Health Econ Health Policy,</w:t>
      </w:r>
      <w:r w:rsidRPr="001C2ED8">
        <w:rPr>
          <w:sz w:val="24"/>
          <w:szCs w:val="24"/>
          <w:lang w:val="en-US"/>
        </w:rPr>
        <w:t xml:space="preserve"> 2010;</w:t>
      </w:r>
      <w:r>
        <w:rPr>
          <w:sz w:val="24"/>
          <w:szCs w:val="24"/>
          <w:lang w:val="en-US"/>
        </w:rPr>
        <w:t xml:space="preserve"> 8</w:t>
      </w:r>
      <w:r w:rsidRPr="001C2ED8">
        <w:rPr>
          <w:sz w:val="24"/>
          <w:szCs w:val="24"/>
          <w:lang w:val="en-US"/>
        </w:rPr>
        <w:t>:</w:t>
      </w:r>
      <w:r>
        <w:rPr>
          <w:sz w:val="24"/>
          <w:szCs w:val="24"/>
          <w:lang w:val="en-US"/>
        </w:rPr>
        <w:t xml:space="preserve"> </w:t>
      </w:r>
      <w:r w:rsidRPr="001C2ED8">
        <w:rPr>
          <w:sz w:val="24"/>
          <w:szCs w:val="24"/>
          <w:lang w:val="en-US"/>
        </w:rPr>
        <w:t>61-8.</w:t>
      </w:r>
      <w:r>
        <w:rPr>
          <w:sz w:val="24"/>
          <w:szCs w:val="24"/>
          <w:lang w:val="en-US"/>
        </w:rPr>
        <w:t xml:space="preserve"> </w:t>
      </w:r>
      <w:r w:rsidRPr="001C2ED8">
        <w:rPr>
          <w:sz w:val="24"/>
          <w:szCs w:val="24"/>
          <w:lang w:val="en-US"/>
        </w:rPr>
        <w:lastRenderedPageBreak/>
        <w:t xml:space="preserve">BACKGROUND: Generic </w:t>
      </w:r>
      <w:proofErr w:type="spellStart"/>
      <w:r w:rsidRPr="001C2ED8">
        <w:rPr>
          <w:sz w:val="24"/>
          <w:szCs w:val="24"/>
          <w:lang w:val="en-US"/>
        </w:rPr>
        <w:t>ciclosporin</w:t>
      </w:r>
      <w:proofErr w:type="spellEnd"/>
      <w:r w:rsidRPr="001C2ED8">
        <w:rPr>
          <w:sz w:val="24"/>
          <w:szCs w:val="24"/>
          <w:lang w:val="en-US"/>
        </w:rPr>
        <w:t xml:space="preserve"> A modified (</w:t>
      </w:r>
      <w:proofErr w:type="spellStart"/>
      <w:r w:rsidRPr="001C2ED8">
        <w:rPr>
          <w:sz w:val="24"/>
          <w:szCs w:val="24"/>
          <w:lang w:val="en-US"/>
        </w:rPr>
        <w:t>C</w:t>
      </w:r>
      <w:r>
        <w:rPr>
          <w:sz w:val="24"/>
          <w:szCs w:val="24"/>
          <w:lang w:val="en-US"/>
        </w:rPr>
        <w:t>sA</w:t>
      </w:r>
      <w:proofErr w:type="spellEnd"/>
      <w:r>
        <w:rPr>
          <w:sz w:val="24"/>
          <w:szCs w:val="24"/>
          <w:lang w:val="en-US"/>
        </w:rPr>
        <w:t xml:space="preserve">) does not have an equivalent </w:t>
      </w:r>
      <w:r w:rsidRPr="001C2ED8">
        <w:rPr>
          <w:sz w:val="24"/>
          <w:szCs w:val="24"/>
          <w:lang w:val="en-US"/>
        </w:rPr>
        <w:t xml:space="preserve">pharmacokinetic profile to branded </w:t>
      </w:r>
      <w:proofErr w:type="spellStart"/>
      <w:r w:rsidRPr="001C2ED8">
        <w:rPr>
          <w:sz w:val="24"/>
          <w:szCs w:val="24"/>
          <w:lang w:val="en-US"/>
        </w:rPr>
        <w:t>CsA</w:t>
      </w:r>
      <w:proofErr w:type="spellEnd"/>
      <w:r w:rsidRPr="001C2ED8">
        <w:rPr>
          <w:sz w:val="24"/>
          <w:szCs w:val="24"/>
          <w:lang w:val="en-US"/>
        </w:rPr>
        <w:t xml:space="preserve"> in some transplant populations,</w:t>
      </w:r>
      <w:r>
        <w:rPr>
          <w:sz w:val="24"/>
          <w:szCs w:val="24"/>
          <w:lang w:val="en-US"/>
        </w:rPr>
        <w:t xml:space="preserve"> </w:t>
      </w:r>
      <w:r w:rsidRPr="001C2ED8">
        <w:rPr>
          <w:sz w:val="24"/>
          <w:szCs w:val="24"/>
          <w:lang w:val="en-US"/>
        </w:rPr>
        <w:t>potentially leading to negative clinical consequences and increased long-term</w:t>
      </w:r>
      <w:r>
        <w:rPr>
          <w:sz w:val="24"/>
          <w:szCs w:val="24"/>
          <w:lang w:val="en-US"/>
        </w:rPr>
        <w:t xml:space="preserve"> </w:t>
      </w:r>
      <w:r w:rsidRPr="001C2ED8">
        <w:rPr>
          <w:sz w:val="24"/>
          <w:szCs w:val="24"/>
          <w:lang w:val="en-US"/>
        </w:rPr>
        <w:t>costs.</w:t>
      </w:r>
      <w:r>
        <w:rPr>
          <w:sz w:val="24"/>
          <w:szCs w:val="24"/>
          <w:lang w:val="en-US"/>
        </w:rPr>
        <w:t xml:space="preserve"> </w:t>
      </w:r>
      <w:r w:rsidRPr="001C2ED8">
        <w:rPr>
          <w:sz w:val="24"/>
          <w:szCs w:val="24"/>
          <w:lang w:val="en-US"/>
        </w:rPr>
        <w:t>OBJECTIVE: To assess direct healthcare cos</w:t>
      </w:r>
      <w:r>
        <w:rPr>
          <w:sz w:val="24"/>
          <w:szCs w:val="24"/>
          <w:lang w:val="en-US"/>
        </w:rPr>
        <w:t xml:space="preserve">ts for de novo renal transplant </w:t>
      </w:r>
      <w:r w:rsidRPr="001C2ED8">
        <w:rPr>
          <w:sz w:val="24"/>
          <w:szCs w:val="24"/>
          <w:lang w:val="en-US"/>
        </w:rPr>
        <w:t>recipients in the US receiving branded versus</w:t>
      </w:r>
      <w:r>
        <w:rPr>
          <w:sz w:val="24"/>
          <w:szCs w:val="24"/>
          <w:lang w:val="en-US"/>
        </w:rPr>
        <w:t xml:space="preserve"> generic </w:t>
      </w:r>
      <w:proofErr w:type="spellStart"/>
      <w:r>
        <w:rPr>
          <w:sz w:val="24"/>
          <w:szCs w:val="24"/>
          <w:lang w:val="en-US"/>
        </w:rPr>
        <w:t>CsA</w:t>
      </w:r>
      <w:proofErr w:type="spellEnd"/>
      <w:r>
        <w:rPr>
          <w:sz w:val="24"/>
          <w:szCs w:val="24"/>
          <w:lang w:val="en-US"/>
        </w:rPr>
        <w:t xml:space="preserve"> in the first month </w:t>
      </w:r>
      <w:r w:rsidRPr="001C2ED8">
        <w:rPr>
          <w:sz w:val="24"/>
          <w:szCs w:val="24"/>
          <w:lang w:val="en-US"/>
        </w:rPr>
        <w:t>after transp</w:t>
      </w:r>
      <w:r>
        <w:rPr>
          <w:sz w:val="24"/>
          <w:szCs w:val="24"/>
          <w:lang w:val="en-US"/>
        </w:rPr>
        <w:t xml:space="preserve">lantation. </w:t>
      </w:r>
      <w:r w:rsidRPr="001C2ED8">
        <w:rPr>
          <w:sz w:val="24"/>
          <w:szCs w:val="24"/>
          <w:lang w:val="en-US"/>
        </w:rPr>
        <w:t>METHODS: Administrative claims data from eig</w:t>
      </w:r>
      <w:r>
        <w:rPr>
          <w:sz w:val="24"/>
          <w:szCs w:val="24"/>
          <w:lang w:val="en-US"/>
        </w:rPr>
        <w:t xml:space="preserve">ht private US health plans were </w:t>
      </w:r>
      <w:r w:rsidRPr="001C2ED8">
        <w:rPr>
          <w:sz w:val="24"/>
          <w:szCs w:val="24"/>
          <w:lang w:val="en-US"/>
        </w:rPr>
        <w:t>linked to the Organ Procurement and Transplantatio</w:t>
      </w:r>
      <w:r>
        <w:rPr>
          <w:sz w:val="24"/>
          <w:szCs w:val="24"/>
          <w:lang w:val="en-US"/>
        </w:rPr>
        <w:t xml:space="preserve">n Network data. A total of 227 </w:t>
      </w:r>
      <w:r w:rsidRPr="001C2ED8">
        <w:rPr>
          <w:sz w:val="24"/>
          <w:szCs w:val="24"/>
          <w:lang w:val="en-US"/>
        </w:rPr>
        <w:t>renal transplant cases between 1996 and 2004 we</w:t>
      </w:r>
      <w:r>
        <w:rPr>
          <w:sz w:val="24"/>
          <w:szCs w:val="24"/>
          <w:lang w:val="en-US"/>
        </w:rPr>
        <w:t xml:space="preserve">re included: 183 were dispensed </w:t>
      </w:r>
      <w:r w:rsidRPr="001C2ED8">
        <w:rPr>
          <w:sz w:val="24"/>
          <w:szCs w:val="24"/>
          <w:lang w:val="en-US"/>
        </w:rPr>
        <w:t xml:space="preserve">branded </w:t>
      </w:r>
      <w:proofErr w:type="spellStart"/>
      <w:r w:rsidRPr="001C2ED8">
        <w:rPr>
          <w:sz w:val="24"/>
          <w:szCs w:val="24"/>
          <w:lang w:val="en-US"/>
        </w:rPr>
        <w:t>CsA</w:t>
      </w:r>
      <w:proofErr w:type="spellEnd"/>
      <w:r w:rsidRPr="001C2ED8">
        <w:rPr>
          <w:sz w:val="24"/>
          <w:szCs w:val="24"/>
          <w:lang w:val="en-US"/>
        </w:rPr>
        <w:t xml:space="preserve"> and 44 received generic </w:t>
      </w:r>
      <w:proofErr w:type="spellStart"/>
      <w:r w:rsidRPr="001C2ED8">
        <w:rPr>
          <w:sz w:val="24"/>
          <w:szCs w:val="24"/>
          <w:lang w:val="en-US"/>
        </w:rPr>
        <w:t>CsA</w:t>
      </w:r>
      <w:proofErr w:type="spellEnd"/>
      <w:r w:rsidRPr="001C2ED8">
        <w:rPr>
          <w:sz w:val="24"/>
          <w:szCs w:val="24"/>
          <w:lang w:val="en-US"/>
        </w:rPr>
        <w:t xml:space="preserve">. </w:t>
      </w:r>
      <w:r>
        <w:rPr>
          <w:sz w:val="24"/>
          <w:szCs w:val="24"/>
          <w:lang w:val="en-US"/>
        </w:rPr>
        <w:t xml:space="preserve">Log transformed multiple linear </w:t>
      </w:r>
      <w:r w:rsidRPr="001C2ED8">
        <w:rPr>
          <w:sz w:val="24"/>
          <w:szCs w:val="24"/>
          <w:lang w:val="en-US"/>
        </w:rPr>
        <w:t>regression was used to model total first-year heal</w:t>
      </w:r>
      <w:r>
        <w:rPr>
          <w:sz w:val="24"/>
          <w:szCs w:val="24"/>
          <w:lang w:val="en-US"/>
        </w:rPr>
        <w:t xml:space="preserve">thcare costs after the initial </w:t>
      </w:r>
      <w:proofErr w:type="spellStart"/>
      <w:r w:rsidRPr="001C2ED8">
        <w:rPr>
          <w:sz w:val="24"/>
          <w:szCs w:val="24"/>
          <w:lang w:val="en-US"/>
        </w:rPr>
        <w:t>CsA</w:t>
      </w:r>
      <w:proofErr w:type="spellEnd"/>
      <w:r w:rsidRPr="001C2ED8">
        <w:rPr>
          <w:sz w:val="24"/>
          <w:szCs w:val="24"/>
          <w:lang w:val="en-US"/>
        </w:rPr>
        <w:t xml:space="preserve"> claim, controlling for both patient demographi</w:t>
      </w:r>
      <w:r>
        <w:rPr>
          <w:sz w:val="24"/>
          <w:szCs w:val="24"/>
          <w:lang w:val="en-US"/>
        </w:rPr>
        <w:t xml:space="preserve">cs and clinical characteristics </w:t>
      </w:r>
      <w:r w:rsidRPr="001C2ED8">
        <w:rPr>
          <w:sz w:val="24"/>
          <w:szCs w:val="24"/>
          <w:lang w:val="en-US"/>
        </w:rPr>
        <w:t>and clustering at the trans</w:t>
      </w:r>
      <w:r>
        <w:rPr>
          <w:sz w:val="24"/>
          <w:szCs w:val="24"/>
          <w:lang w:val="en-US"/>
        </w:rPr>
        <w:t xml:space="preserve">plant centre level. </w:t>
      </w:r>
      <w:r w:rsidRPr="001C2ED8">
        <w:rPr>
          <w:sz w:val="24"/>
          <w:szCs w:val="24"/>
          <w:lang w:val="en-US"/>
        </w:rPr>
        <w:t>RESULTS: After controlling for patient f</w:t>
      </w:r>
      <w:r>
        <w:rPr>
          <w:sz w:val="24"/>
          <w:szCs w:val="24"/>
          <w:lang w:val="en-US"/>
        </w:rPr>
        <w:t>actors and pre-</w:t>
      </w:r>
      <w:proofErr w:type="spellStart"/>
      <w:r>
        <w:rPr>
          <w:sz w:val="24"/>
          <w:szCs w:val="24"/>
          <w:lang w:val="en-US"/>
        </w:rPr>
        <w:t>CsA</w:t>
      </w:r>
      <w:proofErr w:type="spellEnd"/>
      <w:r>
        <w:rPr>
          <w:sz w:val="24"/>
          <w:szCs w:val="24"/>
          <w:lang w:val="en-US"/>
        </w:rPr>
        <w:t xml:space="preserve"> costs, total </w:t>
      </w:r>
      <w:r w:rsidRPr="001C2ED8">
        <w:rPr>
          <w:sz w:val="24"/>
          <w:szCs w:val="24"/>
          <w:lang w:val="en-US"/>
        </w:rPr>
        <w:t>healthcare costs were significantly higher (p</w:t>
      </w:r>
      <w:r>
        <w:rPr>
          <w:sz w:val="24"/>
          <w:szCs w:val="24"/>
          <w:lang w:val="en-US"/>
        </w:rPr>
        <w:t xml:space="preserve"> = 0.04) for patients receiving </w:t>
      </w:r>
      <w:r w:rsidRPr="001C2ED8">
        <w:rPr>
          <w:sz w:val="24"/>
          <w:szCs w:val="24"/>
          <w:lang w:val="en-US"/>
        </w:rPr>
        <w:t xml:space="preserve">generic </w:t>
      </w:r>
      <w:proofErr w:type="spellStart"/>
      <w:r w:rsidRPr="001C2ED8">
        <w:rPr>
          <w:sz w:val="24"/>
          <w:szCs w:val="24"/>
          <w:lang w:val="en-US"/>
        </w:rPr>
        <w:t>CsA</w:t>
      </w:r>
      <w:proofErr w:type="spellEnd"/>
      <w:r w:rsidRPr="001C2ED8">
        <w:rPr>
          <w:sz w:val="24"/>
          <w:szCs w:val="24"/>
          <w:lang w:val="en-US"/>
        </w:rPr>
        <w:t xml:space="preserve"> versus branded </w:t>
      </w:r>
      <w:proofErr w:type="spellStart"/>
      <w:r w:rsidRPr="001C2ED8">
        <w:rPr>
          <w:sz w:val="24"/>
          <w:szCs w:val="24"/>
          <w:lang w:val="en-US"/>
        </w:rPr>
        <w:t>CsA</w:t>
      </w:r>
      <w:proofErr w:type="spellEnd"/>
      <w:r w:rsidRPr="001C2ED8">
        <w:rPr>
          <w:sz w:val="24"/>
          <w:szCs w:val="24"/>
          <w:lang w:val="en-US"/>
        </w:rPr>
        <w:t xml:space="preserve">. The main driver </w:t>
      </w:r>
      <w:r>
        <w:rPr>
          <w:sz w:val="24"/>
          <w:szCs w:val="24"/>
          <w:lang w:val="en-US"/>
        </w:rPr>
        <w:t xml:space="preserve">for the difference was the cost </w:t>
      </w:r>
      <w:r w:rsidRPr="001C2ED8">
        <w:rPr>
          <w:sz w:val="24"/>
          <w:szCs w:val="24"/>
          <w:lang w:val="en-US"/>
        </w:rPr>
        <w:t xml:space="preserve">associated with </w:t>
      </w:r>
      <w:proofErr w:type="spellStart"/>
      <w:r w:rsidRPr="001C2ED8">
        <w:rPr>
          <w:sz w:val="24"/>
          <w:szCs w:val="24"/>
          <w:lang w:val="en-US"/>
        </w:rPr>
        <w:t>immunosuppress</w:t>
      </w:r>
      <w:r>
        <w:rPr>
          <w:sz w:val="24"/>
          <w:szCs w:val="24"/>
          <w:lang w:val="en-US"/>
        </w:rPr>
        <w:t>ants</w:t>
      </w:r>
      <w:proofErr w:type="spellEnd"/>
      <w:r>
        <w:rPr>
          <w:sz w:val="24"/>
          <w:szCs w:val="24"/>
          <w:lang w:val="en-US"/>
        </w:rPr>
        <w:t xml:space="preserve"> other than </w:t>
      </w:r>
      <w:proofErr w:type="spellStart"/>
      <w:r>
        <w:rPr>
          <w:sz w:val="24"/>
          <w:szCs w:val="24"/>
          <w:lang w:val="en-US"/>
        </w:rPr>
        <w:t>CsA</w:t>
      </w:r>
      <w:proofErr w:type="spellEnd"/>
      <w:r>
        <w:rPr>
          <w:sz w:val="24"/>
          <w:szCs w:val="24"/>
          <w:lang w:val="en-US"/>
        </w:rPr>
        <w:t xml:space="preserve"> (p = 0.01). </w:t>
      </w:r>
      <w:r w:rsidRPr="001C2ED8">
        <w:rPr>
          <w:sz w:val="24"/>
          <w:szCs w:val="24"/>
          <w:lang w:val="en-US"/>
        </w:rPr>
        <w:t>CONCLUSION: Despite initial perceived cost savin</w:t>
      </w:r>
      <w:r>
        <w:rPr>
          <w:sz w:val="24"/>
          <w:szCs w:val="24"/>
          <w:lang w:val="en-US"/>
        </w:rPr>
        <w:t xml:space="preserve">gs associated with generic </w:t>
      </w:r>
      <w:proofErr w:type="spellStart"/>
      <w:r>
        <w:rPr>
          <w:sz w:val="24"/>
          <w:szCs w:val="24"/>
          <w:lang w:val="en-US"/>
        </w:rPr>
        <w:t>CsA</w:t>
      </w:r>
      <w:proofErr w:type="spellEnd"/>
      <w:r>
        <w:rPr>
          <w:sz w:val="24"/>
          <w:szCs w:val="24"/>
          <w:lang w:val="en-US"/>
        </w:rPr>
        <w:t xml:space="preserve">, </w:t>
      </w:r>
      <w:r w:rsidRPr="001C2ED8">
        <w:rPr>
          <w:sz w:val="24"/>
          <w:szCs w:val="24"/>
          <w:lang w:val="en-US"/>
        </w:rPr>
        <w:t>de novo renal transplant recipients incurred great</w:t>
      </w:r>
      <w:r>
        <w:rPr>
          <w:sz w:val="24"/>
          <w:szCs w:val="24"/>
          <w:lang w:val="en-US"/>
        </w:rPr>
        <w:t xml:space="preserve">er total healthcare costs </w:t>
      </w:r>
      <w:proofErr w:type="gramStart"/>
      <w:r>
        <w:rPr>
          <w:sz w:val="24"/>
          <w:szCs w:val="24"/>
          <w:lang w:val="en-US"/>
        </w:rPr>
        <w:t xml:space="preserve">than  </w:t>
      </w:r>
      <w:r w:rsidRPr="001C2ED8">
        <w:rPr>
          <w:sz w:val="24"/>
          <w:szCs w:val="24"/>
          <w:lang w:val="en-US"/>
        </w:rPr>
        <w:t>those</w:t>
      </w:r>
      <w:proofErr w:type="gramEnd"/>
      <w:r w:rsidRPr="001C2ED8">
        <w:rPr>
          <w:sz w:val="24"/>
          <w:szCs w:val="24"/>
          <w:lang w:val="en-US"/>
        </w:rPr>
        <w:t xml:space="preserve"> treated with branded </w:t>
      </w:r>
      <w:proofErr w:type="spellStart"/>
      <w:r w:rsidRPr="001C2ED8">
        <w:rPr>
          <w:sz w:val="24"/>
          <w:szCs w:val="24"/>
          <w:lang w:val="en-US"/>
        </w:rPr>
        <w:t>CsA</w:t>
      </w:r>
      <w:proofErr w:type="spellEnd"/>
      <w:r w:rsidRPr="001C2ED8">
        <w:rPr>
          <w:sz w:val="24"/>
          <w:szCs w:val="24"/>
          <w:lang w:val="en-US"/>
        </w:rPr>
        <w:t>. Patients receiv</w:t>
      </w:r>
      <w:r>
        <w:rPr>
          <w:sz w:val="24"/>
          <w:szCs w:val="24"/>
          <w:lang w:val="en-US"/>
        </w:rPr>
        <w:t xml:space="preserve">ing generic </w:t>
      </w:r>
      <w:proofErr w:type="spellStart"/>
      <w:r>
        <w:rPr>
          <w:sz w:val="24"/>
          <w:szCs w:val="24"/>
          <w:lang w:val="en-US"/>
        </w:rPr>
        <w:t>CsA</w:t>
      </w:r>
      <w:proofErr w:type="spellEnd"/>
      <w:r>
        <w:rPr>
          <w:sz w:val="24"/>
          <w:szCs w:val="24"/>
          <w:lang w:val="en-US"/>
        </w:rPr>
        <w:t xml:space="preserve"> may need higher </w:t>
      </w:r>
      <w:r w:rsidRPr="001C2ED8">
        <w:rPr>
          <w:sz w:val="24"/>
          <w:szCs w:val="24"/>
          <w:lang w:val="en-US"/>
        </w:rPr>
        <w:t xml:space="preserve">doses or other </w:t>
      </w:r>
      <w:proofErr w:type="spellStart"/>
      <w:r w:rsidRPr="001C2ED8">
        <w:rPr>
          <w:sz w:val="24"/>
          <w:szCs w:val="24"/>
          <w:lang w:val="en-US"/>
        </w:rPr>
        <w:t>immunosuppressants</w:t>
      </w:r>
      <w:proofErr w:type="spellEnd"/>
      <w:r w:rsidRPr="001C2ED8">
        <w:rPr>
          <w:sz w:val="24"/>
          <w:szCs w:val="24"/>
          <w:lang w:val="en-US"/>
        </w:rPr>
        <w:t xml:space="preserve"> to mainta</w:t>
      </w:r>
      <w:r>
        <w:rPr>
          <w:sz w:val="24"/>
          <w:szCs w:val="24"/>
          <w:lang w:val="en-US"/>
        </w:rPr>
        <w:t xml:space="preserve">in the transplanted kidney than </w:t>
      </w:r>
      <w:r w:rsidRPr="001C2ED8">
        <w:rPr>
          <w:sz w:val="24"/>
          <w:szCs w:val="24"/>
          <w:lang w:val="en-US"/>
        </w:rPr>
        <w:t xml:space="preserve">patients receiving branded </w:t>
      </w:r>
      <w:proofErr w:type="spellStart"/>
      <w:r w:rsidRPr="001C2ED8">
        <w:rPr>
          <w:sz w:val="24"/>
          <w:szCs w:val="24"/>
          <w:lang w:val="en-US"/>
        </w:rPr>
        <w:t>CsA</w:t>
      </w:r>
      <w:proofErr w:type="spellEnd"/>
      <w:r w:rsidRPr="001C2ED8">
        <w:rPr>
          <w:sz w:val="24"/>
          <w:szCs w:val="24"/>
          <w:lang w:val="en-US"/>
        </w:rPr>
        <w:t>. Providers</w:t>
      </w:r>
      <w:r>
        <w:rPr>
          <w:sz w:val="24"/>
          <w:szCs w:val="24"/>
          <w:lang w:val="en-US"/>
        </w:rPr>
        <w:t xml:space="preserve"> and payers need to be aware of </w:t>
      </w:r>
      <w:r w:rsidRPr="001C2ED8">
        <w:rPr>
          <w:sz w:val="24"/>
          <w:szCs w:val="24"/>
          <w:lang w:val="en-US"/>
        </w:rPr>
        <w:t>potential differences in total healthcar</w:t>
      </w:r>
      <w:r>
        <w:rPr>
          <w:sz w:val="24"/>
          <w:szCs w:val="24"/>
          <w:lang w:val="en-US"/>
        </w:rPr>
        <w:t xml:space="preserve">e costs between formulations of </w:t>
      </w:r>
      <w:r w:rsidRPr="001C2ED8">
        <w:rPr>
          <w:sz w:val="24"/>
          <w:szCs w:val="24"/>
          <w:lang w:val="en-US"/>
        </w:rPr>
        <w:t>bioequivalent critical-dose drugs to make the best choice for patient care.</w:t>
      </w:r>
    </w:p>
    <w:p w:rsidR="005D51F3" w:rsidRPr="004C4F2A" w:rsidRDefault="005D51F3" w:rsidP="005D51F3">
      <w:pPr>
        <w:spacing w:before="240" w:after="0" w:line="320" w:lineRule="atLeast"/>
        <w:jc w:val="both"/>
        <w:rPr>
          <w:sz w:val="24"/>
          <w:szCs w:val="24"/>
          <w:lang w:val="en-US"/>
        </w:rPr>
      </w:pPr>
      <w:r w:rsidRPr="005D51F3">
        <w:rPr>
          <w:sz w:val="24"/>
          <w:szCs w:val="24"/>
          <w:lang w:val="en-US"/>
        </w:rPr>
        <w:t xml:space="preserve">- </w:t>
      </w:r>
      <w:proofErr w:type="spellStart"/>
      <w:r w:rsidRPr="005D51F3">
        <w:rPr>
          <w:sz w:val="24"/>
          <w:szCs w:val="24"/>
          <w:lang w:val="en-US"/>
        </w:rPr>
        <w:t>Kharasch</w:t>
      </w:r>
      <w:proofErr w:type="spellEnd"/>
      <w:r w:rsidRPr="005D51F3">
        <w:rPr>
          <w:sz w:val="24"/>
          <w:szCs w:val="24"/>
          <w:lang w:val="en-US"/>
        </w:rPr>
        <w:t xml:space="preserve"> E, </w:t>
      </w:r>
      <w:proofErr w:type="spellStart"/>
      <w:r w:rsidRPr="005D51F3">
        <w:rPr>
          <w:sz w:val="24"/>
          <w:szCs w:val="24"/>
          <w:lang w:val="en-US"/>
        </w:rPr>
        <w:t>Subbarao</w:t>
      </w:r>
      <w:proofErr w:type="spellEnd"/>
      <w:r w:rsidRPr="005D51F3">
        <w:rPr>
          <w:sz w:val="24"/>
          <w:szCs w:val="24"/>
          <w:lang w:val="en-US"/>
        </w:rPr>
        <w:t xml:space="preserve"> G, </w:t>
      </w:r>
      <w:proofErr w:type="spellStart"/>
      <w:r w:rsidRPr="005D51F3">
        <w:rPr>
          <w:sz w:val="24"/>
          <w:szCs w:val="24"/>
          <w:lang w:val="en-US"/>
        </w:rPr>
        <w:t>Cromack</w:t>
      </w:r>
      <w:proofErr w:type="spellEnd"/>
      <w:r w:rsidRPr="005D51F3">
        <w:rPr>
          <w:sz w:val="24"/>
          <w:szCs w:val="24"/>
          <w:lang w:val="en-US"/>
        </w:rPr>
        <w:t xml:space="preserve"> K, Stephens D, </w:t>
      </w:r>
      <w:proofErr w:type="spellStart"/>
      <w:r w:rsidRPr="005D51F3">
        <w:rPr>
          <w:sz w:val="24"/>
          <w:szCs w:val="24"/>
          <w:lang w:val="en-US"/>
        </w:rPr>
        <w:t>Saltarelli</w:t>
      </w:r>
      <w:proofErr w:type="spellEnd"/>
      <w:r w:rsidRPr="005D51F3">
        <w:rPr>
          <w:sz w:val="24"/>
          <w:szCs w:val="24"/>
          <w:lang w:val="en-US"/>
        </w:rPr>
        <w:t xml:space="preserve"> M. </w:t>
      </w:r>
      <w:r>
        <w:rPr>
          <w:sz w:val="24"/>
          <w:szCs w:val="24"/>
          <w:lang w:val="en-US"/>
        </w:rPr>
        <w:t>“</w:t>
      </w:r>
      <w:proofErr w:type="spellStart"/>
      <w:r w:rsidRPr="005D51F3">
        <w:rPr>
          <w:sz w:val="24"/>
          <w:szCs w:val="24"/>
          <w:lang w:val="en-US"/>
        </w:rPr>
        <w:t>Sevoflurane</w:t>
      </w:r>
      <w:proofErr w:type="spellEnd"/>
      <w:r w:rsidRPr="005D51F3">
        <w:rPr>
          <w:sz w:val="24"/>
          <w:szCs w:val="24"/>
          <w:lang w:val="en-US"/>
        </w:rPr>
        <w:t xml:space="preserve"> formulation water content influence</w:t>
      </w:r>
      <w:r>
        <w:rPr>
          <w:sz w:val="24"/>
          <w:szCs w:val="24"/>
          <w:lang w:val="en-US"/>
        </w:rPr>
        <w:t xml:space="preserve">s degradation by Lewis acids in vaporizers”. </w:t>
      </w:r>
      <w:proofErr w:type="spellStart"/>
      <w:r w:rsidRPr="005D51F3">
        <w:rPr>
          <w:sz w:val="24"/>
          <w:szCs w:val="24"/>
          <w:lang w:val="en-US"/>
        </w:rPr>
        <w:t>Anesth</w:t>
      </w:r>
      <w:proofErr w:type="spellEnd"/>
      <w:r w:rsidRPr="005D51F3">
        <w:rPr>
          <w:sz w:val="24"/>
          <w:szCs w:val="24"/>
          <w:lang w:val="en-US"/>
        </w:rPr>
        <w:t xml:space="preserve"> </w:t>
      </w:r>
      <w:proofErr w:type="spellStart"/>
      <w:r w:rsidRPr="005D51F3">
        <w:rPr>
          <w:sz w:val="24"/>
          <w:szCs w:val="24"/>
          <w:lang w:val="en-US"/>
        </w:rPr>
        <w:t>Analg</w:t>
      </w:r>
      <w:proofErr w:type="spellEnd"/>
      <w:r w:rsidRPr="005D51F3">
        <w:rPr>
          <w:sz w:val="24"/>
          <w:szCs w:val="24"/>
          <w:lang w:val="en-US"/>
        </w:rPr>
        <w:t xml:space="preserve">, </w:t>
      </w:r>
      <w:r>
        <w:rPr>
          <w:sz w:val="24"/>
          <w:szCs w:val="24"/>
          <w:lang w:val="en-US"/>
        </w:rPr>
        <w:t>2009</w:t>
      </w:r>
      <w:r w:rsidRPr="005D51F3">
        <w:rPr>
          <w:sz w:val="24"/>
          <w:szCs w:val="24"/>
          <w:lang w:val="en-US"/>
        </w:rPr>
        <w:t>;</w:t>
      </w:r>
      <w:r>
        <w:rPr>
          <w:sz w:val="24"/>
          <w:szCs w:val="24"/>
          <w:lang w:val="en-US"/>
        </w:rPr>
        <w:t xml:space="preserve"> 108</w:t>
      </w:r>
      <w:r w:rsidRPr="005D51F3">
        <w:rPr>
          <w:sz w:val="24"/>
          <w:szCs w:val="24"/>
          <w:lang w:val="en-US"/>
        </w:rPr>
        <w:t>:</w:t>
      </w:r>
      <w:r>
        <w:rPr>
          <w:sz w:val="24"/>
          <w:szCs w:val="24"/>
          <w:lang w:val="en-US"/>
        </w:rPr>
        <w:t xml:space="preserve"> 1796-802. </w:t>
      </w:r>
      <w:r w:rsidRPr="005D51F3">
        <w:rPr>
          <w:sz w:val="24"/>
          <w:szCs w:val="24"/>
          <w:lang w:val="en-US"/>
        </w:rPr>
        <w:t xml:space="preserve">BACKGROUND: </w:t>
      </w:r>
      <w:proofErr w:type="spellStart"/>
      <w:r w:rsidRPr="005D51F3">
        <w:rPr>
          <w:sz w:val="24"/>
          <w:szCs w:val="24"/>
          <w:lang w:val="en-US"/>
        </w:rPr>
        <w:t>Sevoflurane</w:t>
      </w:r>
      <w:proofErr w:type="spellEnd"/>
      <w:r w:rsidRPr="005D51F3">
        <w:rPr>
          <w:sz w:val="24"/>
          <w:szCs w:val="24"/>
          <w:lang w:val="en-US"/>
        </w:rPr>
        <w:t xml:space="preserve"> is produced by several manufacturers. Currently marketed </w:t>
      </w:r>
      <w:proofErr w:type="spellStart"/>
      <w:r w:rsidRPr="005D51F3">
        <w:rPr>
          <w:sz w:val="24"/>
          <w:szCs w:val="24"/>
          <w:lang w:val="en-US"/>
        </w:rPr>
        <w:t>sevoflurane</w:t>
      </w:r>
      <w:proofErr w:type="spellEnd"/>
      <w:r w:rsidRPr="005D51F3">
        <w:rPr>
          <w:sz w:val="24"/>
          <w:szCs w:val="24"/>
          <w:lang w:val="en-US"/>
        </w:rPr>
        <w:t xml:space="preserve"> formulations differ in their method of synthesis, impurities,</w:t>
      </w:r>
      <w:r>
        <w:rPr>
          <w:sz w:val="24"/>
          <w:szCs w:val="24"/>
          <w:lang w:val="en-US"/>
        </w:rPr>
        <w:t xml:space="preserve"> </w:t>
      </w:r>
      <w:r w:rsidRPr="005D51F3">
        <w:rPr>
          <w:sz w:val="24"/>
          <w:szCs w:val="24"/>
          <w:lang w:val="en-US"/>
        </w:rPr>
        <w:t>containers in which they are sold, and water content. Of the various types of</w:t>
      </w:r>
      <w:r>
        <w:rPr>
          <w:sz w:val="24"/>
          <w:szCs w:val="24"/>
          <w:lang w:val="en-US"/>
        </w:rPr>
        <w:t xml:space="preserve"> </w:t>
      </w:r>
      <w:r w:rsidRPr="005D51F3">
        <w:rPr>
          <w:sz w:val="24"/>
          <w:szCs w:val="24"/>
          <w:lang w:val="en-US"/>
        </w:rPr>
        <w:t xml:space="preserve">chemical degradation to which </w:t>
      </w:r>
      <w:proofErr w:type="spellStart"/>
      <w:r w:rsidRPr="005D51F3">
        <w:rPr>
          <w:sz w:val="24"/>
          <w:szCs w:val="24"/>
          <w:lang w:val="en-US"/>
        </w:rPr>
        <w:t>sevoflurane</w:t>
      </w:r>
      <w:proofErr w:type="spellEnd"/>
      <w:r w:rsidRPr="005D51F3">
        <w:rPr>
          <w:sz w:val="24"/>
          <w:szCs w:val="24"/>
          <w:lang w:val="en-US"/>
        </w:rPr>
        <w:t xml:space="preserve"> is sus</w:t>
      </w:r>
      <w:r>
        <w:rPr>
          <w:sz w:val="24"/>
          <w:szCs w:val="24"/>
          <w:lang w:val="en-US"/>
        </w:rPr>
        <w:t xml:space="preserve">ceptible, the most pertinent is </w:t>
      </w:r>
      <w:r w:rsidRPr="005D51F3">
        <w:rPr>
          <w:sz w:val="24"/>
          <w:szCs w:val="24"/>
          <w:lang w:val="en-US"/>
        </w:rPr>
        <w:t>degradation by Lewis acids (such as met</w:t>
      </w:r>
      <w:r>
        <w:rPr>
          <w:sz w:val="24"/>
          <w:szCs w:val="24"/>
          <w:lang w:val="en-US"/>
        </w:rPr>
        <w:t xml:space="preserve">al oxides and metal halides) to </w:t>
      </w:r>
      <w:r w:rsidRPr="005D51F3">
        <w:rPr>
          <w:sz w:val="24"/>
          <w:szCs w:val="24"/>
          <w:lang w:val="en-US"/>
        </w:rPr>
        <w:t>hydrofluoric acid and other toxic compounds. W</w:t>
      </w:r>
      <w:r>
        <w:rPr>
          <w:sz w:val="24"/>
          <w:szCs w:val="24"/>
          <w:lang w:val="en-US"/>
        </w:rPr>
        <w:t>at</w:t>
      </w:r>
      <w:r w:rsidRPr="004C4F2A">
        <w:rPr>
          <w:sz w:val="24"/>
          <w:szCs w:val="24"/>
          <w:lang w:val="en-US"/>
        </w:rPr>
        <w:t xml:space="preserve">er inhibits such degradation. This observational study determined the degradation profile of three formulations of </w:t>
      </w:r>
      <w:proofErr w:type="spellStart"/>
      <w:r w:rsidRPr="004C4F2A">
        <w:rPr>
          <w:sz w:val="24"/>
          <w:szCs w:val="24"/>
          <w:lang w:val="en-US"/>
        </w:rPr>
        <w:t>sevoflurane</w:t>
      </w:r>
      <w:proofErr w:type="spellEnd"/>
      <w:r w:rsidRPr="004C4F2A">
        <w:rPr>
          <w:sz w:val="24"/>
          <w:szCs w:val="24"/>
          <w:lang w:val="en-US"/>
        </w:rPr>
        <w:t xml:space="preserve"> (two lower-water and one higher-water formulation) when stored in three types of vaporizers. CONCLUSIONS: Lower-water </w:t>
      </w:r>
      <w:proofErr w:type="spellStart"/>
      <w:r w:rsidRPr="004C4F2A">
        <w:rPr>
          <w:sz w:val="24"/>
          <w:szCs w:val="24"/>
          <w:lang w:val="en-US"/>
        </w:rPr>
        <w:t>sevoflurane</w:t>
      </w:r>
      <w:proofErr w:type="spellEnd"/>
      <w:r w:rsidRPr="004C4F2A">
        <w:rPr>
          <w:sz w:val="24"/>
          <w:szCs w:val="24"/>
          <w:lang w:val="en-US"/>
        </w:rPr>
        <w:t xml:space="preserve"> underwent substantial degradation to hydrofluoric acid and other </w:t>
      </w:r>
      <w:proofErr w:type="spellStart"/>
      <w:r w:rsidRPr="004C4F2A">
        <w:rPr>
          <w:sz w:val="24"/>
          <w:szCs w:val="24"/>
          <w:lang w:val="en-US"/>
        </w:rPr>
        <w:t>degradants</w:t>
      </w:r>
      <w:proofErr w:type="spellEnd"/>
      <w:r w:rsidRPr="004C4F2A">
        <w:rPr>
          <w:sz w:val="24"/>
          <w:szCs w:val="24"/>
          <w:lang w:val="en-US"/>
        </w:rPr>
        <w:t xml:space="preserve"> during storage in the </w:t>
      </w:r>
      <w:proofErr w:type="spellStart"/>
      <w:r w:rsidRPr="004C4F2A">
        <w:rPr>
          <w:sz w:val="24"/>
          <w:szCs w:val="24"/>
          <w:lang w:val="en-US"/>
        </w:rPr>
        <w:t>Penlon</w:t>
      </w:r>
      <w:proofErr w:type="spellEnd"/>
      <w:r w:rsidRPr="004C4F2A">
        <w:rPr>
          <w:sz w:val="24"/>
          <w:szCs w:val="24"/>
          <w:lang w:val="en-US"/>
        </w:rPr>
        <w:t xml:space="preserve"> Sigma Delta vaporizer. Differences in water content of </w:t>
      </w:r>
      <w:proofErr w:type="spellStart"/>
      <w:r w:rsidRPr="004C4F2A">
        <w:rPr>
          <w:sz w:val="24"/>
          <w:szCs w:val="24"/>
          <w:lang w:val="en-US"/>
        </w:rPr>
        <w:t>sevoflurane</w:t>
      </w:r>
      <w:proofErr w:type="spellEnd"/>
      <w:r w:rsidRPr="004C4F2A">
        <w:rPr>
          <w:sz w:val="24"/>
          <w:szCs w:val="24"/>
          <w:lang w:val="en-US"/>
        </w:rPr>
        <w:t xml:space="preserve"> formulations and potential for degradation present a potential patient safety issue.</w:t>
      </w:r>
    </w:p>
    <w:p w:rsidR="00BB289C" w:rsidRPr="004C4F2A" w:rsidRDefault="00BB289C" w:rsidP="004C4F2A">
      <w:pPr>
        <w:spacing w:before="240" w:after="0" w:line="320" w:lineRule="atLeast"/>
        <w:jc w:val="both"/>
        <w:rPr>
          <w:sz w:val="24"/>
          <w:szCs w:val="24"/>
          <w:lang w:val="en-US"/>
        </w:rPr>
      </w:pPr>
      <w:r w:rsidRPr="004C4F2A">
        <w:rPr>
          <w:sz w:val="24"/>
          <w:szCs w:val="24"/>
          <w:lang w:val="en-US"/>
        </w:rPr>
        <w:t xml:space="preserve">- </w:t>
      </w:r>
      <w:proofErr w:type="spellStart"/>
      <w:r w:rsidR="004C4F2A">
        <w:rPr>
          <w:sz w:val="24"/>
          <w:szCs w:val="24"/>
          <w:lang w:val="en-US"/>
        </w:rPr>
        <w:t>Dentali</w:t>
      </w:r>
      <w:proofErr w:type="spellEnd"/>
      <w:r w:rsidR="004C4F2A">
        <w:rPr>
          <w:sz w:val="24"/>
          <w:szCs w:val="24"/>
          <w:lang w:val="en-US"/>
        </w:rPr>
        <w:t xml:space="preserve"> F, </w:t>
      </w:r>
      <w:proofErr w:type="spellStart"/>
      <w:r w:rsidR="004C4F2A">
        <w:rPr>
          <w:sz w:val="24"/>
          <w:szCs w:val="24"/>
          <w:lang w:val="en-US"/>
        </w:rPr>
        <w:t>Donadini</w:t>
      </w:r>
      <w:proofErr w:type="spellEnd"/>
      <w:r w:rsidR="004C4F2A">
        <w:rPr>
          <w:sz w:val="24"/>
          <w:szCs w:val="24"/>
          <w:lang w:val="en-US"/>
        </w:rPr>
        <w:t xml:space="preserve"> M, Clark N, </w:t>
      </w:r>
      <w:proofErr w:type="spellStart"/>
      <w:r w:rsidR="004C4F2A">
        <w:rPr>
          <w:sz w:val="24"/>
          <w:szCs w:val="24"/>
          <w:lang w:val="en-US"/>
        </w:rPr>
        <w:t>Crowther</w:t>
      </w:r>
      <w:proofErr w:type="spellEnd"/>
      <w:r w:rsidR="004C4F2A">
        <w:rPr>
          <w:sz w:val="24"/>
          <w:szCs w:val="24"/>
          <w:lang w:val="en-US"/>
        </w:rPr>
        <w:t xml:space="preserve"> M, Garcia D, </w:t>
      </w:r>
      <w:proofErr w:type="spellStart"/>
      <w:r w:rsidR="004C4F2A">
        <w:rPr>
          <w:sz w:val="24"/>
          <w:szCs w:val="24"/>
          <w:lang w:val="en-US"/>
        </w:rPr>
        <w:t>Hylek</w:t>
      </w:r>
      <w:proofErr w:type="spellEnd"/>
      <w:r w:rsidR="004C4F2A">
        <w:rPr>
          <w:sz w:val="24"/>
          <w:szCs w:val="24"/>
          <w:lang w:val="en-US"/>
        </w:rPr>
        <w:t xml:space="preserve"> E, Witt D</w:t>
      </w:r>
      <w:r w:rsidR="004C4F2A" w:rsidRPr="004C4F2A">
        <w:rPr>
          <w:sz w:val="24"/>
          <w:szCs w:val="24"/>
          <w:lang w:val="en-US"/>
        </w:rPr>
        <w:t xml:space="preserve">, </w:t>
      </w:r>
      <w:proofErr w:type="spellStart"/>
      <w:r w:rsidR="004C4F2A" w:rsidRPr="004C4F2A">
        <w:rPr>
          <w:sz w:val="24"/>
          <w:szCs w:val="24"/>
          <w:lang w:val="en-US"/>
        </w:rPr>
        <w:t>Ageno</w:t>
      </w:r>
      <w:proofErr w:type="spellEnd"/>
      <w:r w:rsidR="004C4F2A" w:rsidRPr="004C4F2A">
        <w:rPr>
          <w:sz w:val="24"/>
          <w:szCs w:val="24"/>
          <w:lang w:val="en-US"/>
        </w:rPr>
        <w:t xml:space="preserve"> </w:t>
      </w:r>
      <w:r w:rsidR="004C4F2A">
        <w:rPr>
          <w:sz w:val="24"/>
          <w:szCs w:val="24"/>
          <w:lang w:val="en-US"/>
        </w:rPr>
        <w:t>W</w:t>
      </w:r>
      <w:r w:rsidR="004C4F2A" w:rsidRPr="004C4F2A">
        <w:rPr>
          <w:sz w:val="24"/>
          <w:szCs w:val="24"/>
          <w:lang w:val="en-US"/>
        </w:rPr>
        <w:t xml:space="preserve">. “Brand name versus generic </w:t>
      </w:r>
      <w:proofErr w:type="spellStart"/>
      <w:r w:rsidR="004C4F2A" w:rsidRPr="004C4F2A">
        <w:rPr>
          <w:sz w:val="24"/>
          <w:szCs w:val="24"/>
          <w:lang w:val="en-US"/>
        </w:rPr>
        <w:t>warfarin</w:t>
      </w:r>
      <w:proofErr w:type="spellEnd"/>
      <w:r w:rsidR="004C4F2A" w:rsidRPr="004C4F2A">
        <w:rPr>
          <w:sz w:val="24"/>
          <w:szCs w:val="24"/>
          <w:lang w:val="en-US"/>
        </w:rPr>
        <w:t xml:space="preserve">: a systematic review of the literature”. Pharmacotherapy, 2011; 31: 386-93. </w:t>
      </w:r>
      <w:r w:rsidRPr="004C4F2A">
        <w:rPr>
          <w:rFonts w:ascii="Calibri" w:eastAsia="Calibri" w:hAnsi="Calibri" w:cs="Arial"/>
          <w:sz w:val="24"/>
          <w:szCs w:val="24"/>
          <w:lang w:val="en-GB"/>
        </w:rPr>
        <w:t xml:space="preserve">The results of our systematic review suggest that generic </w:t>
      </w:r>
      <w:proofErr w:type="spellStart"/>
      <w:r w:rsidRPr="004C4F2A">
        <w:rPr>
          <w:rFonts w:ascii="Calibri" w:eastAsia="Calibri" w:hAnsi="Calibri" w:cs="Arial"/>
          <w:sz w:val="24"/>
          <w:szCs w:val="24"/>
          <w:lang w:val="en-GB"/>
        </w:rPr>
        <w:t>warfarin</w:t>
      </w:r>
      <w:proofErr w:type="spellEnd"/>
      <w:r w:rsidRPr="004C4F2A">
        <w:rPr>
          <w:rFonts w:ascii="Calibri" w:eastAsia="Calibri" w:hAnsi="Calibri" w:cs="Arial"/>
          <w:sz w:val="24"/>
          <w:szCs w:val="24"/>
          <w:lang w:val="en-GB"/>
        </w:rPr>
        <w:t xml:space="preserve"> products may be as safe and effective as brand name products and </w:t>
      </w:r>
      <w:proofErr w:type="gramStart"/>
      <w:r w:rsidRPr="004C4F2A">
        <w:rPr>
          <w:rFonts w:ascii="Calibri" w:eastAsia="Calibri" w:hAnsi="Calibri" w:cs="Arial"/>
          <w:sz w:val="24"/>
          <w:szCs w:val="24"/>
          <w:lang w:val="en-GB"/>
        </w:rPr>
        <w:t>that patients</w:t>
      </w:r>
      <w:proofErr w:type="gramEnd"/>
      <w:r w:rsidRPr="004C4F2A">
        <w:rPr>
          <w:rFonts w:ascii="Calibri" w:eastAsia="Calibri" w:hAnsi="Calibri" w:cs="Arial"/>
          <w:sz w:val="24"/>
          <w:szCs w:val="24"/>
          <w:lang w:val="en-GB"/>
        </w:rPr>
        <w:t xml:space="preserve"> may be safely treated with these products. However, closer monitoring may be reasonable when switching brands, as variations in individual INR response may be seen.</w:t>
      </w:r>
    </w:p>
    <w:p w:rsidR="00655D0E" w:rsidRPr="000D4E29" w:rsidRDefault="0087333E" w:rsidP="000D4E29">
      <w:pPr>
        <w:spacing w:before="240" w:after="0" w:line="320" w:lineRule="atLeast"/>
        <w:jc w:val="both"/>
        <w:rPr>
          <w:sz w:val="24"/>
          <w:szCs w:val="24"/>
        </w:rPr>
      </w:pPr>
      <w:r w:rsidRPr="004C4F2A">
        <w:rPr>
          <w:sz w:val="24"/>
          <w:szCs w:val="24"/>
        </w:rPr>
        <w:t>Poderíamos continuar a citar artigos, mas e</w:t>
      </w:r>
      <w:r w:rsidR="00092FB1" w:rsidRPr="004C4F2A">
        <w:rPr>
          <w:sz w:val="24"/>
          <w:szCs w:val="24"/>
        </w:rPr>
        <w:t>sper</w:t>
      </w:r>
      <w:r w:rsidR="00655D0E" w:rsidRPr="004C4F2A">
        <w:rPr>
          <w:sz w:val="24"/>
          <w:szCs w:val="24"/>
        </w:rPr>
        <w:t>amos</w:t>
      </w:r>
      <w:r w:rsidRPr="004C4F2A">
        <w:rPr>
          <w:sz w:val="24"/>
          <w:szCs w:val="24"/>
        </w:rPr>
        <w:t xml:space="preserve"> que estes já </w:t>
      </w:r>
      <w:r w:rsidR="00092FB1" w:rsidRPr="004C4F2A">
        <w:rPr>
          <w:sz w:val="24"/>
          <w:szCs w:val="24"/>
        </w:rPr>
        <w:t xml:space="preserve">contribuam </w:t>
      </w:r>
      <w:r w:rsidRPr="004C4F2A">
        <w:rPr>
          <w:sz w:val="24"/>
          <w:szCs w:val="24"/>
        </w:rPr>
        <w:t xml:space="preserve">suficientemente </w:t>
      </w:r>
      <w:r w:rsidR="00092FB1" w:rsidRPr="004C4F2A">
        <w:rPr>
          <w:sz w:val="24"/>
          <w:szCs w:val="24"/>
        </w:rPr>
        <w:t>p</w:t>
      </w:r>
      <w:r w:rsidR="00092FB1" w:rsidRPr="000D4E29">
        <w:rPr>
          <w:sz w:val="24"/>
          <w:szCs w:val="24"/>
        </w:rPr>
        <w:t xml:space="preserve">ara sustentar a consistência das posições e das razões da Ordem dos </w:t>
      </w:r>
      <w:r w:rsidR="00092FB1" w:rsidRPr="000D4E29">
        <w:rPr>
          <w:sz w:val="24"/>
          <w:szCs w:val="24"/>
        </w:rPr>
        <w:lastRenderedPageBreak/>
        <w:t>Médicos na defesa dos interesses dos doentes e da boa medicina!</w:t>
      </w:r>
      <w:r w:rsidR="00471AA1" w:rsidRPr="000D4E29">
        <w:rPr>
          <w:sz w:val="24"/>
          <w:szCs w:val="24"/>
        </w:rPr>
        <w:t xml:space="preserve"> Porém, se for colocada em causa a credibilidade científica da Ordem dos Médicos aprofundaremos esta questão. Mas esse seria um caminho que poderia afectar a credibilidade dos próprios genéricos…</w:t>
      </w:r>
    </w:p>
    <w:p w:rsidR="00092FB1" w:rsidRPr="000D4E29" w:rsidRDefault="00655D0E" w:rsidP="000D4E29">
      <w:pPr>
        <w:spacing w:before="240" w:after="0" w:line="320" w:lineRule="atLeast"/>
        <w:jc w:val="both"/>
        <w:rPr>
          <w:sz w:val="24"/>
          <w:szCs w:val="24"/>
        </w:rPr>
      </w:pPr>
      <w:r w:rsidRPr="000D4E29">
        <w:rPr>
          <w:sz w:val="24"/>
          <w:szCs w:val="24"/>
        </w:rPr>
        <w:t>Recordamos</w:t>
      </w:r>
      <w:r w:rsidR="00092FB1" w:rsidRPr="000D4E29">
        <w:rPr>
          <w:sz w:val="24"/>
          <w:szCs w:val="24"/>
        </w:rPr>
        <w:t xml:space="preserve"> que, não obstante poder fazê-lo com sustentação científica, a Ordem não está contra os genéricos, que até aconselha, mas sim contra a substituição permanente </w:t>
      </w:r>
      <w:r w:rsidRPr="000D4E29">
        <w:rPr>
          <w:sz w:val="24"/>
          <w:szCs w:val="24"/>
        </w:rPr>
        <w:t>e selvagem entre diferentes marcas de genéricos</w:t>
      </w:r>
      <w:r w:rsidR="00092FB1" w:rsidRPr="000D4E29">
        <w:rPr>
          <w:sz w:val="24"/>
          <w:szCs w:val="24"/>
        </w:rPr>
        <w:t xml:space="preserve"> por meros interesses comerciais, com prejuí</w:t>
      </w:r>
      <w:r w:rsidRPr="000D4E29">
        <w:rPr>
          <w:sz w:val="24"/>
          <w:szCs w:val="24"/>
        </w:rPr>
        <w:t>zos potenciais e reais para os D</w:t>
      </w:r>
      <w:r w:rsidR="00092FB1" w:rsidRPr="000D4E29">
        <w:rPr>
          <w:sz w:val="24"/>
          <w:szCs w:val="24"/>
        </w:rPr>
        <w:t>oentes</w:t>
      </w:r>
      <w:r w:rsidRPr="000D4E29">
        <w:rPr>
          <w:sz w:val="24"/>
          <w:szCs w:val="24"/>
        </w:rPr>
        <w:t xml:space="preserve"> e para a Qualidade dos Cuidados de Saúde e sem benefícios económicos para o país</w:t>
      </w:r>
      <w:r w:rsidR="009E69A2">
        <w:rPr>
          <w:sz w:val="24"/>
          <w:szCs w:val="24"/>
        </w:rPr>
        <w:t>, quiçá até com prejuízo</w:t>
      </w:r>
      <w:r w:rsidR="00092FB1" w:rsidRPr="000D4E29">
        <w:rPr>
          <w:sz w:val="24"/>
          <w:szCs w:val="24"/>
        </w:rPr>
        <w:t>.</w:t>
      </w:r>
    </w:p>
    <w:p w:rsidR="005C24B3" w:rsidRPr="000D4E29" w:rsidRDefault="005C24B3" w:rsidP="000D4E29">
      <w:pPr>
        <w:spacing w:before="240" w:after="0" w:line="320" w:lineRule="atLeast"/>
        <w:jc w:val="both"/>
        <w:rPr>
          <w:sz w:val="24"/>
          <w:szCs w:val="24"/>
        </w:rPr>
      </w:pPr>
      <w:r w:rsidRPr="000D4E29">
        <w:rPr>
          <w:sz w:val="24"/>
          <w:szCs w:val="24"/>
        </w:rPr>
        <w:t xml:space="preserve">Regressando à carta do INFARMED, mais uma vez nos confrontamos com uma propositada promiscuidade de conceitos e realidades. As questões de </w:t>
      </w:r>
      <w:proofErr w:type="spellStart"/>
      <w:r w:rsidRPr="000D4E29">
        <w:rPr>
          <w:sz w:val="24"/>
          <w:szCs w:val="24"/>
        </w:rPr>
        <w:t>farmacovigilância</w:t>
      </w:r>
      <w:proofErr w:type="spellEnd"/>
      <w:r w:rsidR="006E430E" w:rsidRPr="000D4E29">
        <w:rPr>
          <w:sz w:val="24"/>
          <w:szCs w:val="24"/>
        </w:rPr>
        <w:t>, que conscientemente levantá</w:t>
      </w:r>
      <w:r w:rsidRPr="000D4E29">
        <w:rPr>
          <w:sz w:val="24"/>
          <w:szCs w:val="24"/>
        </w:rPr>
        <w:t>mos</w:t>
      </w:r>
      <w:r w:rsidR="006E430E" w:rsidRPr="000D4E29">
        <w:rPr>
          <w:sz w:val="24"/>
          <w:szCs w:val="24"/>
        </w:rPr>
        <w:t>,</w:t>
      </w:r>
      <w:r w:rsidRPr="000D4E29">
        <w:rPr>
          <w:sz w:val="24"/>
          <w:szCs w:val="24"/>
        </w:rPr>
        <w:t xml:space="preserve"> não têm a ver com a utilização de medicamentos genéricos mas sim com as trocas de genéricos por genéricos, variando </w:t>
      </w:r>
      <w:proofErr w:type="spellStart"/>
      <w:r w:rsidRPr="000D4E29">
        <w:rPr>
          <w:sz w:val="24"/>
          <w:szCs w:val="24"/>
        </w:rPr>
        <w:t>biodisponibilidade</w:t>
      </w:r>
      <w:proofErr w:type="spellEnd"/>
      <w:r w:rsidRPr="000D4E29">
        <w:rPr>
          <w:sz w:val="24"/>
          <w:szCs w:val="24"/>
        </w:rPr>
        <w:t>, método de fabric</w:t>
      </w:r>
      <w:r w:rsidR="0008787E" w:rsidRPr="000D4E29">
        <w:rPr>
          <w:sz w:val="24"/>
          <w:szCs w:val="24"/>
        </w:rPr>
        <w:t>o, forma galénica, excipientes,</w:t>
      </w:r>
      <w:r w:rsidRPr="000D4E29">
        <w:rPr>
          <w:sz w:val="24"/>
          <w:szCs w:val="24"/>
        </w:rPr>
        <w:t xml:space="preserve"> impurezas</w:t>
      </w:r>
      <w:r w:rsidR="0008787E" w:rsidRPr="000D4E29">
        <w:rPr>
          <w:sz w:val="24"/>
          <w:szCs w:val="24"/>
        </w:rPr>
        <w:t>, aspecto das caixas e dos comprimidos</w:t>
      </w:r>
      <w:r w:rsidRPr="000D4E29">
        <w:rPr>
          <w:sz w:val="24"/>
          <w:szCs w:val="24"/>
        </w:rPr>
        <w:t xml:space="preserve">. </w:t>
      </w:r>
    </w:p>
    <w:p w:rsidR="006E430E" w:rsidRPr="000D4E29" w:rsidRDefault="005C24B3" w:rsidP="000D4E29">
      <w:pPr>
        <w:spacing w:before="240" w:after="0" w:line="320" w:lineRule="atLeast"/>
        <w:jc w:val="both"/>
        <w:rPr>
          <w:sz w:val="24"/>
          <w:szCs w:val="24"/>
        </w:rPr>
      </w:pPr>
      <w:r w:rsidRPr="000D4E29">
        <w:rPr>
          <w:sz w:val="24"/>
          <w:szCs w:val="24"/>
        </w:rPr>
        <w:t>O INFARMED informa que o sistema de monitorização da segurança utilizado em Portugal é comum ao do resto da Europa</w:t>
      </w:r>
      <w:r w:rsidR="0008787E" w:rsidRPr="000D4E29">
        <w:rPr>
          <w:sz w:val="24"/>
          <w:szCs w:val="24"/>
        </w:rPr>
        <w:t xml:space="preserve">. Mas a Ordem dos Médicos não disse o contrário. O que o INFARMED também devia informar, mas não informou, pelo que a Ordem informa, é que a legislação dos genéricos em Portugal é diferente do resto da Europa e a literacia do povo português também é diferente do resto da Europa, pelo que em Portugal há problemas com os genéricos que não existem no resto da Europa e que ultrapassam o sistema de </w:t>
      </w:r>
      <w:proofErr w:type="spellStart"/>
      <w:r w:rsidR="0008787E" w:rsidRPr="000D4E29">
        <w:rPr>
          <w:sz w:val="24"/>
          <w:szCs w:val="24"/>
        </w:rPr>
        <w:t>farmacovigilância</w:t>
      </w:r>
      <w:proofErr w:type="spellEnd"/>
      <w:r w:rsidR="0008787E" w:rsidRPr="000D4E29">
        <w:rPr>
          <w:sz w:val="24"/>
          <w:szCs w:val="24"/>
        </w:rPr>
        <w:t>.</w:t>
      </w:r>
    </w:p>
    <w:p w:rsidR="009D5296" w:rsidRDefault="006E430E" w:rsidP="009D5296">
      <w:pPr>
        <w:spacing w:before="240" w:after="0" w:line="320" w:lineRule="atLeast"/>
        <w:jc w:val="both"/>
        <w:rPr>
          <w:rFonts w:cs="Arial"/>
          <w:sz w:val="24"/>
          <w:szCs w:val="24"/>
        </w:rPr>
      </w:pPr>
      <w:r w:rsidRPr="000D4E29">
        <w:rPr>
          <w:rFonts w:cs="Arial"/>
          <w:sz w:val="24"/>
          <w:szCs w:val="24"/>
        </w:rPr>
        <w:t xml:space="preserve">Portugal é </w:t>
      </w:r>
      <w:r w:rsidRPr="000D4E29">
        <w:rPr>
          <w:rFonts w:cs="Arial"/>
          <w:bCs/>
          <w:sz w:val="24"/>
          <w:szCs w:val="24"/>
        </w:rPr>
        <w:t xml:space="preserve">dos poucos países da EU </w:t>
      </w:r>
      <w:r w:rsidRPr="000D4E29">
        <w:rPr>
          <w:rFonts w:cs="Arial"/>
          <w:sz w:val="24"/>
          <w:szCs w:val="24"/>
        </w:rPr>
        <w:t>onde a prescrição por DCI é obrigatória, a par de França, Estónia, Roménia e Lituânia</w:t>
      </w:r>
      <w:r w:rsidR="00BE7A3A">
        <w:rPr>
          <w:rFonts w:cs="Arial"/>
          <w:sz w:val="24"/>
          <w:szCs w:val="24"/>
        </w:rPr>
        <w:t>. Em Portugal</w:t>
      </w:r>
      <w:r w:rsidRPr="000D4E29">
        <w:rPr>
          <w:rFonts w:cs="Arial"/>
          <w:sz w:val="24"/>
          <w:szCs w:val="24"/>
        </w:rPr>
        <w:t xml:space="preserve"> é possível estarem no mercado cerca de uma centena de marcas diferentes do mesmo genérico, </w:t>
      </w:r>
      <w:r w:rsidR="00BE7A3A">
        <w:rPr>
          <w:rFonts w:cs="Arial"/>
          <w:sz w:val="24"/>
          <w:szCs w:val="24"/>
        </w:rPr>
        <w:t xml:space="preserve">ou mesmo mais, </w:t>
      </w:r>
      <w:r w:rsidRPr="000D4E29">
        <w:rPr>
          <w:rFonts w:cs="Arial"/>
          <w:sz w:val="24"/>
          <w:szCs w:val="24"/>
        </w:rPr>
        <w:t xml:space="preserve">criando um potencial imenso de confusão e substituição desregrada, prejudicial ao país e aos doentes, </w:t>
      </w:r>
      <w:r w:rsidR="00071C55" w:rsidRPr="000D4E29">
        <w:rPr>
          <w:rFonts w:cs="Arial"/>
          <w:sz w:val="24"/>
          <w:szCs w:val="24"/>
        </w:rPr>
        <w:t xml:space="preserve">que confunde e complica um sistema efectivo de </w:t>
      </w:r>
      <w:proofErr w:type="spellStart"/>
      <w:r w:rsidR="00071C55" w:rsidRPr="000D4E29">
        <w:rPr>
          <w:rFonts w:cs="Arial"/>
          <w:sz w:val="24"/>
          <w:szCs w:val="24"/>
        </w:rPr>
        <w:t>farmacovigilância</w:t>
      </w:r>
      <w:proofErr w:type="spellEnd"/>
      <w:r w:rsidR="00071C55" w:rsidRPr="000D4E29">
        <w:rPr>
          <w:rFonts w:cs="Arial"/>
          <w:sz w:val="24"/>
          <w:szCs w:val="24"/>
        </w:rPr>
        <w:t>.</w:t>
      </w:r>
    </w:p>
    <w:p w:rsidR="002B19A6" w:rsidRPr="009D5296" w:rsidRDefault="005E66BB" w:rsidP="009D5296">
      <w:pPr>
        <w:spacing w:before="240" w:after="0" w:line="320" w:lineRule="atLeast"/>
        <w:jc w:val="both"/>
        <w:rPr>
          <w:rFonts w:cs="Arial"/>
          <w:sz w:val="24"/>
          <w:szCs w:val="24"/>
        </w:rPr>
      </w:pPr>
      <w:r w:rsidRPr="005E66BB">
        <w:rPr>
          <w:rFonts w:cs="Arial"/>
          <w:sz w:val="24"/>
          <w:szCs w:val="24"/>
        </w:rPr>
        <w:t xml:space="preserve">Insistimos num dos principais problemas da substituição de genéricos por genéricos, que é a </w:t>
      </w:r>
      <w:r>
        <w:rPr>
          <w:rFonts w:cs="Arial"/>
          <w:sz w:val="24"/>
          <w:szCs w:val="24"/>
        </w:rPr>
        <w:t>perturbação</w:t>
      </w:r>
      <w:r w:rsidRPr="005E66BB">
        <w:rPr>
          <w:rFonts w:cs="Arial"/>
          <w:sz w:val="24"/>
          <w:szCs w:val="24"/>
        </w:rPr>
        <w:t xml:space="preserve"> inevitável </w:t>
      </w:r>
      <w:r>
        <w:rPr>
          <w:rFonts w:cs="Arial"/>
          <w:sz w:val="24"/>
          <w:szCs w:val="24"/>
        </w:rPr>
        <w:t xml:space="preserve">e permanente </w:t>
      </w:r>
      <w:r w:rsidRPr="005E66BB">
        <w:rPr>
          <w:rFonts w:cs="Arial"/>
          <w:sz w:val="24"/>
          <w:szCs w:val="24"/>
        </w:rPr>
        <w:t xml:space="preserve">nos doentes mais idosos e nos menos letrados. Em utentes idosos </w:t>
      </w:r>
      <w:proofErr w:type="spellStart"/>
      <w:r w:rsidRPr="005E66BB">
        <w:rPr>
          <w:rFonts w:cs="Arial"/>
          <w:sz w:val="24"/>
          <w:szCs w:val="24"/>
        </w:rPr>
        <w:t>polimedicados</w:t>
      </w:r>
      <w:proofErr w:type="spellEnd"/>
      <w:r w:rsidRPr="005E66BB">
        <w:rPr>
          <w:rFonts w:cs="Arial"/>
          <w:sz w:val="24"/>
          <w:szCs w:val="24"/>
        </w:rPr>
        <w:t xml:space="preserve">, </w:t>
      </w:r>
      <w:r>
        <w:rPr>
          <w:rFonts w:cs="Arial"/>
          <w:sz w:val="24"/>
          <w:szCs w:val="24"/>
        </w:rPr>
        <w:t>que normalmente tomam vários fármacos, imagine-se multiplicar</w:t>
      </w:r>
      <w:r w:rsidRPr="005E66BB">
        <w:rPr>
          <w:rFonts w:cs="Arial"/>
          <w:sz w:val="24"/>
          <w:szCs w:val="24"/>
        </w:rPr>
        <w:t xml:space="preserve"> este</w:t>
      </w:r>
      <w:r>
        <w:rPr>
          <w:rFonts w:cs="Arial"/>
          <w:sz w:val="24"/>
          <w:szCs w:val="24"/>
        </w:rPr>
        <w:t xml:space="preserve"> </w:t>
      </w:r>
      <w:r w:rsidRPr="005E66BB">
        <w:rPr>
          <w:rFonts w:cs="Arial"/>
          <w:sz w:val="24"/>
          <w:szCs w:val="24"/>
        </w:rPr>
        <w:t xml:space="preserve">factor </w:t>
      </w:r>
      <w:r>
        <w:rPr>
          <w:rFonts w:cs="Arial"/>
          <w:sz w:val="24"/>
          <w:szCs w:val="24"/>
        </w:rPr>
        <w:t>de substituição por 6 ou 8</w:t>
      </w:r>
      <w:r w:rsidRPr="005E66BB">
        <w:rPr>
          <w:rFonts w:cs="Arial"/>
          <w:sz w:val="24"/>
          <w:szCs w:val="24"/>
        </w:rPr>
        <w:t xml:space="preserve"> vezes, </w:t>
      </w:r>
      <w:r>
        <w:rPr>
          <w:rFonts w:cs="Arial"/>
          <w:sz w:val="24"/>
          <w:szCs w:val="24"/>
        </w:rPr>
        <w:t xml:space="preserve">por exemplo. Facilmente se percebe </w:t>
      </w:r>
      <w:r w:rsidRPr="005E66BB">
        <w:rPr>
          <w:rFonts w:cs="Arial"/>
          <w:sz w:val="24"/>
          <w:szCs w:val="24"/>
        </w:rPr>
        <w:t xml:space="preserve">o </w:t>
      </w:r>
      <w:r>
        <w:rPr>
          <w:rFonts w:cs="Arial"/>
          <w:sz w:val="24"/>
          <w:szCs w:val="24"/>
        </w:rPr>
        <w:t xml:space="preserve">enorme </w:t>
      </w:r>
      <w:r w:rsidRPr="005E66BB">
        <w:rPr>
          <w:rFonts w:cs="Arial"/>
          <w:sz w:val="24"/>
          <w:szCs w:val="24"/>
        </w:rPr>
        <w:t>risco da</w:t>
      </w:r>
      <w:r>
        <w:rPr>
          <w:rFonts w:cs="Arial"/>
          <w:sz w:val="24"/>
          <w:szCs w:val="24"/>
        </w:rPr>
        <w:t xml:space="preserve"> </w:t>
      </w:r>
      <w:r w:rsidRPr="005E66BB">
        <w:rPr>
          <w:rFonts w:cs="Arial"/>
          <w:sz w:val="24"/>
          <w:szCs w:val="24"/>
        </w:rPr>
        <w:t>substi</w:t>
      </w:r>
      <w:r w:rsidRPr="009D5296">
        <w:rPr>
          <w:rFonts w:cs="Arial"/>
          <w:sz w:val="24"/>
          <w:szCs w:val="24"/>
        </w:rPr>
        <w:t>tuição de medicamentos genéricos por genéricos e os custos que daí podem advir para os doentes e para o SNS como consequência de erros de posologia.</w:t>
      </w:r>
      <w:r w:rsidR="009D5296" w:rsidRPr="009D5296">
        <w:rPr>
          <w:rFonts w:cs="Arial"/>
          <w:sz w:val="24"/>
          <w:szCs w:val="24"/>
        </w:rPr>
        <w:t xml:space="preserve"> </w:t>
      </w:r>
      <w:r w:rsidR="009D5296">
        <w:rPr>
          <w:rFonts w:cs="Arial"/>
          <w:sz w:val="24"/>
          <w:szCs w:val="24"/>
        </w:rPr>
        <w:t>Relativamente ao mesmo princípio activo, o</w:t>
      </w:r>
      <w:r w:rsidR="009D5296" w:rsidRPr="009D5296">
        <w:rPr>
          <w:rFonts w:cs="Arial"/>
          <w:sz w:val="24"/>
          <w:szCs w:val="24"/>
        </w:rPr>
        <w:t xml:space="preserve"> </w:t>
      </w:r>
      <w:r w:rsidR="009D5296" w:rsidRPr="009D5296">
        <w:rPr>
          <w:rFonts w:cs="Arial"/>
          <w:bCs/>
          <w:sz w:val="24"/>
          <w:szCs w:val="24"/>
        </w:rPr>
        <w:t xml:space="preserve">utente </w:t>
      </w:r>
      <w:r w:rsidR="009D5296" w:rsidRPr="009D5296">
        <w:rPr>
          <w:rFonts w:cs="Arial"/>
          <w:sz w:val="24"/>
          <w:szCs w:val="24"/>
        </w:rPr>
        <w:t xml:space="preserve">corre o </w:t>
      </w:r>
      <w:r w:rsidR="009D5296" w:rsidRPr="009D5296">
        <w:rPr>
          <w:rFonts w:cs="Arial"/>
          <w:bCs/>
          <w:sz w:val="24"/>
          <w:szCs w:val="24"/>
        </w:rPr>
        <w:t xml:space="preserve">risco </w:t>
      </w:r>
      <w:r w:rsidR="009D5296" w:rsidRPr="009D5296">
        <w:rPr>
          <w:rFonts w:cs="Arial"/>
          <w:sz w:val="24"/>
          <w:szCs w:val="24"/>
        </w:rPr>
        <w:t xml:space="preserve">de num </w:t>
      </w:r>
      <w:r w:rsidR="009D5296" w:rsidRPr="009D5296">
        <w:rPr>
          <w:rFonts w:cs="Arial"/>
          <w:bCs/>
          <w:sz w:val="24"/>
          <w:szCs w:val="24"/>
        </w:rPr>
        <w:t xml:space="preserve">mês </w:t>
      </w:r>
      <w:r w:rsidR="009D5296" w:rsidRPr="009D5296">
        <w:rPr>
          <w:rFonts w:cs="Arial"/>
          <w:sz w:val="24"/>
          <w:szCs w:val="24"/>
        </w:rPr>
        <w:t xml:space="preserve">lhe ser dispensado um comprimido </w:t>
      </w:r>
      <w:r w:rsidR="00EC2CD6">
        <w:rPr>
          <w:rFonts w:cs="Arial"/>
          <w:bCs/>
          <w:sz w:val="24"/>
          <w:szCs w:val="24"/>
        </w:rPr>
        <w:t>laranja redondo de faces planas</w:t>
      </w:r>
      <w:r w:rsidR="009D5296" w:rsidRPr="009D5296">
        <w:rPr>
          <w:rFonts w:cs="Arial"/>
          <w:sz w:val="24"/>
          <w:szCs w:val="24"/>
        </w:rPr>
        <w:t xml:space="preserve">, noutro </w:t>
      </w:r>
      <w:proofErr w:type="gramStart"/>
      <w:r w:rsidR="009D5296" w:rsidRPr="009D5296">
        <w:rPr>
          <w:rFonts w:cs="Arial"/>
          <w:sz w:val="24"/>
          <w:szCs w:val="24"/>
        </w:rPr>
        <w:t>mês</w:t>
      </w:r>
      <w:proofErr w:type="gramEnd"/>
      <w:r w:rsidR="009D5296" w:rsidRPr="009D5296">
        <w:rPr>
          <w:rFonts w:cs="Arial"/>
          <w:sz w:val="24"/>
          <w:szCs w:val="24"/>
        </w:rPr>
        <w:t xml:space="preserve"> </w:t>
      </w:r>
      <w:proofErr w:type="gramStart"/>
      <w:r w:rsidR="009D5296" w:rsidRPr="009D5296">
        <w:rPr>
          <w:rFonts w:cs="Arial"/>
          <w:sz w:val="24"/>
          <w:szCs w:val="24"/>
        </w:rPr>
        <w:t>um</w:t>
      </w:r>
      <w:proofErr w:type="gramEnd"/>
      <w:r w:rsidR="009D5296" w:rsidRPr="009D5296">
        <w:rPr>
          <w:rFonts w:cs="Arial"/>
          <w:sz w:val="24"/>
          <w:szCs w:val="24"/>
        </w:rPr>
        <w:t xml:space="preserve"> </w:t>
      </w:r>
      <w:r w:rsidR="00EC2CD6">
        <w:rPr>
          <w:rFonts w:cs="Arial"/>
          <w:sz w:val="24"/>
          <w:szCs w:val="24"/>
        </w:rPr>
        <w:t xml:space="preserve">azul oblongo </w:t>
      </w:r>
      <w:r w:rsidR="009D5296" w:rsidRPr="009D5296">
        <w:rPr>
          <w:rFonts w:cs="Arial"/>
          <w:sz w:val="24"/>
          <w:szCs w:val="24"/>
        </w:rPr>
        <w:t xml:space="preserve">e noutro ainda um </w:t>
      </w:r>
      <w:r w:rsidR="00947854">
        <w:rPr>
          <w:rFonts w:cs="Arial"/>
          <w:bCs/>
          <w:sz w:val="24"/>
          <w:szCs w:val="24"/>
        </w:rPr>
        <w:t>amarelo com outro formato</w:t>
      </w:r>
      <w:r w:rsidR="009D5296">
        <w:rPr>
          <w:rFonts w:cs="Arial"/>
          <w:sz w:val="24"/>
          <w:szCs w:val="24"/>
        </w:rPr>
        <w:t>; os erros serão inevitáveis</w:t>
      </w:r>
      <w:r w:rsidR="009D5296" w:rsidRPr="009D5296">
        <w:rPr>
          <w:rFonts w:cs="Arial"/>
          <w:sz w:val="24"/>
          <w:szCs w:val="24"/>
        </w:rPr>
        <w:t>.</w:t>
      </w:r>
    </w:p>
    <w:p w:rsidR="002B19A6" w:rsidRPr="002B19A6" w:rsidRDefault="002B19A6" w:rsidP="002B19A6">
      <w:pPr>
        <w:spacing w:before="240" w:after="0" w:line="320" w:lineRule="atLeast"/>
        <w:jc w:val="both"/>
        <w:rPr>
          <w:rFonts w:cs="Arial"/>
          <w:sz w:val="24"/>
          <w:szCs w:val="24"/>
        </w:rPr>
      </w:pPr>
      <w:r w:rsidRPr="009D5296">
        <w:rPr>
          <w:rFonts w:cs="Arial"/>
          <w:sz w:val="24"/>
          <w:szCs w:val="24"/>
        </w:rPr>
        <w:t>O consumo médio da população idosa é de 9 medicamentos por dia (</w:t>
      </w:r>
      <w:proofErr w:type="spellStart"/>
      <w:r w:rsidRPr="009D5296">
        <w:rPr>
          <w:rFonts w:cs="Arial"/>
          <w:sz w:val="24"/>
          <w:szCs w:val="24"/>
        </w:rPr>
        <w:t>MacLaughlin</w:t>
      </w:r>
      <w:proofErr w:type="spellEnd"/>
      <w:r w:rsidRPr="009D5296">
        <w:rPr>
          <w:rFonts w:cs="Arial"/>
          <w:sz w:val="24"/>
          <w:szCs w:val="24"/>
        </w:rPr>
        <w:t xml:space="preserve">, E. J., </w:t>
      </w:r>
      <w:proofErr w:type="spellStart"/>
      <w:r w:rsidRPr="009D5296">
        <w:rPr>
          <w:rFonts w:cs="Arial"/>
          <w:sz w:val="24"/>
          <w:szCs w:val="24"/>
        </w:rPr>
        <w:t>Raehl</w:t>
      </w:r>
      <w:proofErr w:type="spellEnd"/>
      <w:r w:rsidRPr="009D5296">
        <w:rPr>
          <w:rFonts w:cs="Arial"/>
          <w:sz w:val="24"/>
          <w:szCs w:val="24"/>
        </w:rPr>
        <w:t xml:space="preserve">, C. L., </w:t>
      </w:r>
      <w:proofErr w:type="spellStart"/>
      <w:r w:rsidRPr="009D5296">
        <w:rPr>
          <w:rFonts w:cs="Arial"/>
          <w:sz w:val="24"/>
          <w:szCs w:val="24"/>
        </w:rPr>
        <w:t>et</w:t>
      </w:r>
      <w:proofErr w:type="spellEnd"/>
      <w:r w:rsidRPr="009D5296">
        <w:rPr>
          <w:rFonts w:cs="Arial"/>
          <w:sz w:val="24"/>
          <w:szCs w:val="24"/>
        </w:rPr>
        <w:t xml:space="preserve"> al. </w:t>
      </w:r>
      <w:proofErr w:type="spellStart"/>
      <w:r w:rsidRPr="009D5296">
        <w:rPr>
          <w:rFonts w:cs="Arial"/>
          <w:sz w:val="24"/>
          <w:szCs w:val="24"/>
        </w:rPr>
        <w:t>Assessing</w:t>
      </w:r>
      <w:proofErr w:type="spellEnd"/>
      <w:r w:rsidRPr="009D5296">
        <w:rPr>
          <w:rFonts w:cs="Arial"/>
          <w:sz w:val="24"/>
          <w:szCs w:val="24"/>
        </w:rPr>
        <w:t xml:space="preserve"> </w:t>
      </w:r>
      <w:proofErr w:type="spellStart"/>
      <w:r w:rsidRPr="009D5296">
        <w:rPr>
          <w:rFonts w:cs="Arial"/>
          <w:sz w:val="24"/>
          <w:szCs w:val="24"/>
        </w:rPr>
        <w:t>Med</w:t>
      </w:r>
      <w:r w:rsidRPr="002B19A6">
        <w:rPr>
          <w:rFonts w:cs="Arial"/>
          <w:sz w:val="24"/>
          <w:szCs w:val="24"/>
        </w:rPr>
        <w:t>ication</w:t>
      </w:r>
      <w:proofErr w:type="spellEnd"/>
      <w:r w:rsidRPr="002B19A6">
        <w:rPr>
          <w:rFonts w:cs="Arial"/>
          <w:sz w:val="24"/>
          <w:szCs w:val="24"/>
        </w:rPr>
        <w:t xml:space="preserve"> </w:t>
      </w:r>
      <w:proofErr w:type="spellStart"/>
      <w:r w:rsidRPr="002B19A6">
        <w:rPr>
          <w:rFonts w:cs="Arial"/>
          <w:sz w:val="24"/>
          <w:szCs w:val="24"/>
        </w:rPr>
        <w:t>Adherence</w:t>
      </w:r>
      <w:proofErr w:type="spellEnd"/>
      <w:r w:rsidRPr="002B19A6">
        <w:rPr>
          <w:rFonts w:cs="Arial"/>
          <w:sz w:val="24"/>
          <w:szCs w:val="24"/>
        </w:rPr>
        <w:t xml:space="preserve"> </w:t>
      </w:r>
      <w:proofErr w:type="spellStart"/>
      <w:r w:rsidRPr="002B19A6">
        <w:rPr>
          <w:rFonts w:cs="Arial"/>
          <w:sz w:val="24"/>
          <w:szCs w:val="24"/>
        </w:rPr>
        <w:t>in</w:t>
      </w:r>
      <w:proofErr w:type="spellEnd"/>
      <w:r w:rsidRPr="002B19A6">
        <w:rPr>
          <w:rFonts w:cs="Arial"/>
          <w:sz w:val="24"/>
          <w:szCs w:val="24"/>
        </w:rPr>
        <w:t xml:space="preserve"> </w:t>
      </w:r>
      <w:proofErr w:type="spellStart"/>
      <w:r w:rsidRPr="002B19A6">
        <w:rPr>
          <w:rFonts w:cs="Arial"/>
          <w:sz w:val="24"/>
          <w:szCs w:val="24"/>
        </w:rPr>
        <w:t>the</w:t>
      </w:r>
      <w:proofErr w:type="spellEnd"/>
      <w:r w:rsidRPr="002B19A6">
        <w:rPr>
          <w:rFonts w:cs="Arial"/>
          <w:sz w:val="24"/>
          <w:szCs w:val="24"/>
        </w:rPr>
        <w:t xml:space="preserve"> </w:t>
      </w:r>
      <w:proofErr w:type="spellStart"/>
      <w:r w:rsidRPr="002B19A6">
        <w:rPr>
          <w:rFonts w:cs="Arial"/>
          <w:sz w:val="24"/>
          <w:szCs w:val="24"/>
        </w:rPr>
        <w:t>Elderly</w:t>
      </w:r>
      <w:proofErr w:type="spellEnd"/>
      <w:r w:rsidRPr="002B19A6">
        <w:rPr>
          <w:rFonts w:cs="Arial"/>
          <w:sz w:val="24"/>
          <w:szCs w:val="24"/>
        </w:rPr>
        <w:t xml:space="preserve">. </w:t>
      </w:r>
      <w:proofErr w:type="spellStart"/>
      <w:r w:rsidRPr="002B19A6">
        <w:rPr>
          <w:rFonts w:cs="Arial"/>
          <w:sz w:val="24"/>
          <w:szCs w:val="24"/>
        </w:rPr>
        <w:t>Drugs</w:t>
      </w:r>
      <w:proofErr w:type="spellEnd"/>
      <w:r w:rsidRPr="002B19A6">
        <w:rPr>
          <w:rFonts w:cs="Arial"/>
          <w:sz w:val="24"/>
          <w:szCs w:val="24"/>
        </w:rPr>
        <w:t xml:space="preserve"> </w:t>
      </w:r>
      <w:proofErr w:type="spellStart"/>
      <w:r w:rsidRPr="002B19A6">
        <w:rPr>
          <w:rFonts w:cs="Arial"/>
          <w:sz w:val="24"/>
          <w:szCs w:val="24"/>
        </w:rPr>
        <w:t>Aging</w:t>
      </w:r>
      <w:proofErr w:type="spellEnd"/>
      <w:r w:rsidRPr="002B19A6">
        <w:rPr>
          <w:rFonts w:cs="Arial"/>
          <w:sz w:val="24"/>
          <w:szCs w:val="24"/>
        </w:rPr>
        <w:t xml:space="preserve"> 2005; 22 (3): 231-255) e 42,5</w:t>
      </w:r>
      <w:r>
        <w:rPr>
          <w:rFonts w:cs="Arial"/>
          <w:sz w:val="24"/>
          <w:szCs w:val="24"/>
        </w:rPr>
        <w:t xml:space="preserve">% dos doentes idosos </w:t>
      </w:r>
      <w:proofErr w:type="gramStart"/>
      <w:r>
        <w:rPr>
          <w:rFonts w:cs="Arial"/>
          <w:sz w:val="24"/>
          <w:szCs w:val="24"/>
        </w:rPr>
        <w:t>(&gt;65</w:t>
      </w:r>
      <w:proofErr w:type="gramEnd"/>
      <w:r>
        <w:rPr>
          <w:rFonts w:cs="Arial"/>
          <w:sz w:val="24"/>
          <w:szCs w:val="24"/>
        </w:rPr>
        <w:t xml:space="preserve"> anos)</w:t>
      </w:r>
      <w:r w:rsidRPr="002B19A6">
        <w:rPr>
          <w:rFonts w:cs="Arial"/>
          <w:sz w:val="24"/>
          <w:szCs w:val="24"/>
        </w:rPr>
        <w:t xml:space="preserve"> </w:t>
      </w:r>
      <w:proofErr w:type="spellStart"/>
      <w:r w:rsidRPr="002B19A6">
        <w:rPr>
          <w:rFonts w:cs="Arial"/>
          <w:sz w:val="24"/>
          <w:szCs w:val="24"/>
        </w:rPr>
        <w:t>polimedicados</w:t>
      </w:r>
      <w:proofErr w:type="spellEnd"/>
      <w:r w:rsidRPr="002B19A6">
        <w:rPr>
          <w:rFonts w:cs="Arial"/>
          <w:sz w:val="24"/>
          <w:szCs w:val="24"/>
        </w:rPr>
        <w:t xml:space="preserve"> (&gt;5</w:t>
      </w:r>
      <w:r>
        <w:rPr>
          <w:rFonts w:cs="Arial"/>
          <w:sz w:val="24"/>
          <w:szCs w:val="24"/>
        </w:rPr>
        <w:t xml:space="preserve"> </w:t>
      </w:r>
      <w:r w:rsidRPr="002B19A6">
        <w:rPr>
          <w:rFonts w:cs="Arial"/>
          <w:sz w:val="24"/>
          <w:szCs w:val="24"/>
        </w:rPr>
        <w:t>medicamentos) cometem erros na terapêutica, sendo os mais comuns a alteração da posologia e a duplicação da terapêutica (</w:t>
      </w:r>
      <w:proofErr w:type="spellStart"/>
      <w:r w:rsidRPr="002B19A6">
        <w:rPr>
          <w:rFonts w:cs="Arial"/>
          <w:sz w:val="24"/>
          <w:szCs w:val="24"/>
        </w:rPr>
        <w:t>Fernández</w:t>
      </w:r>
      <w:proofErr w:type="spellEnd"/>
      <w:r w:rsidRPr="002B19A6">
        <w:rPr>
          <w:rFonts w:cs="Arial"/>
          <w:sz w:val="24"/>
          <w:szCs w:val="24"/>
        </w:rPr>
        <w:t xml:space="preserve"> </w:t>
      </w:r>
      <w:proofErr w:type="spellStart"/>
      <w:r w:rsidRPr="002B19A6">
        <w:rPr>
          <w:rFonts w:cs="Arial"/>
          <w:sz w:val="24"/>
          <w:szCs w:val="24"/>
        </w:rPr>
        <w:t>Lisón</w:t>
      </w:r>
      <w:proofErr w:type="spellEnd"/>
      <w:r w:rsidRPr="002B19A6">
        <w:rPr>
          <w:rFonts w:cs="Arial"/>
          <w:sz w:val="24"/>
          <w:szCs w:val="24"/>
        </w:rPr>
        <w:t xml:space="preserve"> LC, </w:t>
      </w:r>
      <w:proofErr w:type="spellStart"/>
      <w:r w:rsidRPr="002B19A6">
        <w:rPr>
          <w:rFonts w:cs="Arial"/>
          <w:sz w:val="24"/>
          <w:szCs w:val="24"/>
        </w:rPr>
        <w:t>et</w:t>
      </w:r>
      <w:proofErr w:type="spellEnd"/>
      <w:r w:rsidRPr="002B19A6">
        <w:rPr>
          <w:rFonts w:cs="Arial"/>
          <w:sz w:val="24"/>
          <w:szCs w:val="24"/>
        </w:rPr>
        <w:t xml:space="preserve"> al. </w:t>
      </w:r>
      <w:r w:rsidRPr="002B19A6">
        <w:rPr>
          <w:rFonts w:cs="Arial"/>
          <w:sz w:val="24"/>
          <w:szCs w:val="24"/>
          <w:lang w:val="en-US"/>
        </w:rPr>
        <w:t>Medication errors and non-</w:t>
      </w:r>
      <w:r w:rsidRPr="002B19A6">
        <w:rPr>
          <w:rFonts w:cs="Arial"/>
          <w:sz w:val="24"/>
          <w:szCs w:val="24"/>
          <w:lang w:val="en-US"/>
        </w:rPr>
        <w:lastRenderedPageBreak/>
        <w:t xml:space="preserve">compliance in </w:t>
      </w:r>
      <w:proofErr w:type="spellStart"/>
      <w:r w:rsidRPr="002B19A6">
        <w:rPr>
          <w:rFonts w:cs="Arial"/>
          <w:sz w:val="24"/>
          <w:szCs w:val="24"/>
          <w:lang w:val="en-US"/>
        </w:rPr>
        <w:t>polymedicated</w:t>
      </w:r>
      <w:proofErr w:type="spellEnd"/>
      <w:r w:rsidRPr="002B19A6">
        <w:rPr>
          <w:rFonts w:cs="Arial"/>
          <w:sz w:val="24"/>
          <w:szCs w:val="24"/>
          <w:lang w:val="en-US"/>
        </w:rPr>
        <w:t xml:space="preserve"> elderly patients – Farm Hosp. 2006 Sep-Oct;30(5):280-3).</w:t>
      </w:r>
      <w:r>
        <w:rPr>
          <w:rFonts w:cs="Arial"/>
          <w:sz w:val="24"/>
          <w:szCs w:val="24"/>
          <w:lang w:val="en-US"/>
        </w:rPr>
        <w:t xml:space="preserve"> </w:t>
      </w:r>
      <w:r w:rsidRPr="002B19A6">
        <w:rPr>
          <w:rFonts w:cs="Arial"/>
          <w:sz w:val="24"/>
          <w:szCs w:val="24"/>
        </w:rPr>
        <w:t>Es</w:t>
      </w:r>
      <w:r>
        <w:rPr>
          <w:rFonts w:cs="Arial"/>
          <w:sz w:val="24"/>
          <w:szCs w:val="24"/>
        </w:rPr>
        <w:t>te complexo e perigoso panorama será terrivelmente agravado pela permanente substituição dos fármacos, pois o idoso nunca conseguirá habituar-se a identificá-los correctamente.</w:t>
      </w:r>
    </w:p>
    <w:p w:rsidR="009D12F5" w:rsidRPr="005E66BB" w:rsidRDefault="00071C55" w:rsidP="000D4E29">
      <w:pPr>
        <w:spacing w:before="240" w:after="0" w:line="320" w:lineRule="atLeast"/>
        <w:jc w:val="both"/>
        <w:rPr>
          <w:sz w:val="24"/>
          <w:szCs w:val="24"/>
        </w:rPr>
      </w:pPr>
      <w:r w:rsidRPr="002B19A6">
        <w:rPr>
          <w:sz w:val="24"/>
          <w:szCs w:val="24"/>
        </w:rPr>
        <w:t>Face às confusões de comunicação que têm existido sobre esta ma</w:t>
      </w:r>
      <w:r w:rsidR="000A3B72">
        <w:rPr>
          <w:sz w:val="24"/>
          <w:szCs w:val="24"/>
        </w:rPr>
        <w:t>térias, a Ordem dos Médicos clarifica novamente</w:t>
      </w:r>
      <w:r w:rsidRPr="002B19A6">
        <w:rPr>
          <w:sz w:val="24"/>
          <w:szCs w:val="24"/>
        </w:rPr>
        <w:t xml:space="preserve"> que as modificações que se pretendem introduzir na legislação em </w:t>
      </w:r>
      <w:r w:rsidRPr="005E66BB">
        <w:rPr>
          <w:sz w:val="24"/>
          <w:szCs w:val="24"/>
        </w:rPr>
        <w:t xml:space="preserve">vigor sobre prescrição por DCI visam essencialmente permitir a total </w:t>
      </w:r>
      <w:r w:rsidRPr="005E66BB">
        <w:rPr>
          <w:rFonts w:cs="Arial"/>
          <w:sz w:val="24"/>
          <w:szCs w:val="24"/>
        </w:rPr>
        <w:t>liberdade de substituição na farmácia de</w:t>
      </w:r>
      <w:r w:rsidRPr="005E66BB">
        <w:rPr>
          <w:rFonts w:cs="Arial"/>
          <w:bCs/>
          <w:sz w:val="24"/>
          <w:szCs w:val="24"/>
        </w:rPr>
        <w:t xml:space="preserve"> medicamentos genéricos por</w:t>
      </w:r>
      <w:r w:rsidRPr="005E66BB">
        <w:rPr>
          <w:sz w:val="24"/>
          <w:szCs w:val="24"/>
        </w:rPr>
        <w:t xml:space="preserve"> </w:t>
      </w:r>
      <w:r w:rsidRPr="005E66BB">
        <w:rPr>
          <w:rFonts w:cs="Arial"/>
          <w:bCs/>
          <w:sz w:val="24"/>
          <w:szCs w:val="24"/>
        </w:rPr>
        <w:t>genéricos.</w:t>
      </w:r>
      <w:r w:rsidRPr="005E66BB">
        <w:rPr>
          <w:sz w:val="24"/>
          <w:szCs w:val="24"/>
        </w:rPr>
        <w:t xml:space="preserve"> </w:t>
      </w:r>
    </w:p>
    <w:p w:rsidR="005B4D13" w:rsidRDefault="00071C55" w:rsidP="005B4D13">
      <w:pPr>
        <w:spacing w:before="240" w:after="0" w:line="320" w:lineRule="atLeast"/>
        <w:jc w:val="both"/>
        <w:rPr>
          <w:rFonts w:cs="Arial"/>
          <w:sz w:val="24"/>
          <w:szCs w:val="24"/>
        </w:rPr>
      </w:pPr>
      <w:r w:rsidRPr="005E66BB">
        <w:rPr>
          <w:rFonts w:cs="Arial"/>
          <w:sz w:val="24"/>
          <w:szCs w:val="24"/>
        </w:rPr>
        <w:t>Como é fácil de compreender, a substituição de medicamentos genéricos por genéricos não</w:t>
      </w:r>
      <w:r w:rsidRPr="005E66BB">
        <w:rPr>
          <w:sz w:val="24"/>
          <w:szCs w:val="24"/>
        </w:rPr>
        <w:t xml:space="preserve"> </w:t>
      </w:r>
      <w:r w:rsidRPr="005E66BB">
        <w:rPr>
          <w:rFonts w:cs="Arial"/>
          <w:sz w:val="24"/>
          <w:szCs w:val="24"/>
        </w:rPr>
        <w:t>aumenta a sua quota, não diminui a despesa</w:t>
      </w:r>
      <w:r w:rsidR="000D4E29" w:rsidRPr="005E66BB">
        <w:rPr>
          <w:rFonts w:cs="Arial"/>
          <w:sz w:val="24"/>
          <w:szCs w:val="24"/>
        </w:rPr>
        <w:t>,</w:t>
      </w:r>
      <w:r w:rsidRPr="005E66BB">
        <w:rPr>
          <w:rFonts w:cs="Arial"/>
          <w:sz w:val="24"/>
          <w:szCs w:val="24"/>
        </w:rPr>
        <w:t xml:space="preserve"> particularmente se todos tiverem o mesmo </w:t>
      </w:r>
      <w:r w:rsidRPr="000D4E29">
        <w:rPr>
          <w:rFonts w:cs="Arial"/>
          <w:sz w:val="24"/>
          <w:szCs w:val="24"/>
        </w:rPr>
        <w:t>preço, apenas</w:t>
      </w:r>
      <w:r w:rsidRPr="000D4E29">
        <w:rPr>
          <w:sz w:val="24"/>
          <w:szCs w:val="24"/>
        </w:rPr>
        <w:t xml:space="preserve"> </w:t>
      </w:r>
      <w:r w:rsidRPr="000D4E29">
        <w:rPr>
          <w:rFonts w:cs="Arial"/>
          <w:sz w:val="24"/>
          <w:szCs w:val="24"/>
        </w:rPr>
        <w:t>aumenta as margens da farmácia.</w:t>
      </w:r>
      <w:r w:rsidR="006064CF" w:rsidRPr="000D4E29">
        <w:rPr>
          <w:rFonts w:cs="Arial"/>
          <w:sz w:val="24"/>
          <w:szCs w:val="24"/>
        </w:rPr>
        <w:t xml:space="preserve"> Pode até aumentar a despesa se a troca for feita por um genérico de preço superior.</w:t>
      </w:r>
    </w:p>
    <w:p w:rsidR="004E1DC1" w:rsidRDefault="009D12F5" w:rsidP="004E1DC1">
      <w:pPr>
        <w:spacing w:before="240" w:after="0" w:line="320" w:lineRule="atLeast"/>
        <w:jc w:val="both"/>
        <w:rPr>
          <w:rFonts w:cs="Arial"/>
          <w:sz w:val="24"/>
          <w:szCs w:val="24"/>
        </w:rPr>
      </w:pPr>
      <w:r>
        <w:rPr>
          <w:sz w:val="24"/>
          <w:szCs w:val="24"/>
        </w:rPr>
        <w:t xml:space="preserve">É fundamental desmistificar, também, que os médicos não prescrevam ou estejam contra os genéricos. O </w:t>
      </w:r>
      <w:proofErr w:type="spellStart"/>
      <w:r>
        <w:rPr>
          <w:sz w:val="24"/>
          <w:szCs w:val="24"/>
        </w:rPr>
        <w:t>Clopidogrel</w:t>
      </w:r>
      <w:proofErr w:type="spellEnd"/>
      <w:r w:rsidR="005B4D13">
        <w:rPr>
          <w:sz w:val="24"/>
          <w:szCs w:val="24"/>
        </w:rPr>
        <w:t xml:space="preserve"> (</w:t>
      </w:r>
      <w:proofErr w:type="spellStart"/>
      <w:r w:rsidR="005B4D13">
        <w:rPr>
          <w:sz w:val="24"/>
          <w:szCs w:val="24"/>
        </w:rPr>
        <w:t>Plavix</w:t>
      </w:r>
      <w:proofErr w:type="spellEnd"/>
      <w:r w:rsidR="005B4D13">
        <w:rPr>
          <w:sz w:val="24"/>
          <w:szCs w:val="24"/>
        </w:rPr>
        <w:t>)</w:t>
      </w:r>
      <w:r>
        <w:rPr>
          <w:sz w:val="24"/>
          <w:szCs w:val="24"/>
        </w:rPr>
        <w:t xml:space="preserve">, um </w:t>
      </w:r>
      <w:proofErr w:type="spellStart"/>
      <w:r>
        <w:rPr>
          <w:sz w:val="24"/>
          <w:szCs w:val="24"/>
        </w:rPr>
        <w:t>antiagregante</w:t>
      </w:r>
      <w:proofErr w:type="spellEnd"/>
      <w:r>
        <w:rPr>
          <w:sz w:val="24"/>
          <w:szCs w:val="24"/>
        </w:rPr>
        <w:t xml:space="preserve"> </w:t>
      </w:r>
      <w:proofErr w:type="spellStart"/>
      <w:r>
        <w:rPr>
          <w:sz w:val="24"/>
          <w:szCs w:val="24"/>
        </w:rPr>
        <w:t>plaquetar</w:t>
      </w:r>
      <w:proofErr w:type="spellEnd"/>
      <w:r>
        <w:rPr>
          <w:sz w:val="24"/>
          <w:szCs w:val="24"/>
        </w:rPr>
        <w:t xml:space="preserve"> de preço eleva</w:t>
      </w:r>
      <w:r w:rsidRPr="005B4D13">
        <w:rPr>
          <w:sz w:val="24"/>
          <w:szCs w:val="24"/>
        </w:rPr>
        <w:t xml:space="preserve">do, é um excelente exemplo. Depois de passar a genérico, em pouco mais de um ano a taxa de </w:t>
      </w:r>
      <w:r w:rsidR="00947854">
        <w:rPr>
          <w:sz w:val="24"/>
          <w:szCs w:val="24"/>
        </w:rPr>
        <w:t>penetração mensal</w:t>
      </w:r>
      <w:r w:rsidRPr="005B4D13">
        <w:rPr>
          <w:sz w:val="24"/>
          <w:szCs w:val="24"/>
        </w:rPr>
        <w:t xml:space="preserve"> de medicamentos genéricos deste princípio activo atingiu quase </w:t>
      </w:r>
      <w:r w:rsidR="00947854">
        <w:rPr>
          <w:sz w:val="24"/>
          <w:szCs w:val="24"/>
        </w:rPr>
        <w:t xml:space="preserve">os </w:t>
      </w:r>
      <w:r w:rsidRPr="005B4D13">
        <w:rPr>
          <w:sz w:val="24"/>
          <w:szCs w:val="24"/>
        </w:rPr>
        <w:t>90% (fonte: HMR).</w:t>
      </w:r>
      <w:r w:rsidR="005B4D13" w:rsidRPr="005B4D13">
        <w:rPr>
          <w:sz w:val="24"/>
          <w:szCs w:val="24"/>
        </w:rPr>
        <w:t xml:space="preserve"> Como seria de esperar, </w:t>
      </w:r>
      <w:r w:rsidR="005B4D13" w:rsidRPr="005B4D13">
        <w:rPr>
          <w:rFonts w:cs="Arial"/>
          <w:sz w:val="24"/>
          <w:szCs w:val="24"/>
        </w:rPr>
        <w:t xml:space="preserve">as </w:t>
      </w:r>
      <w:r w:rsidR="005B4D13" w:rsidRPr="00035880">
        <w:rPr>
          <w:rFonts w:cs="Arial"/>
          <w:sz w:val="24"/>
          <w:szCs w:val="24"/>
        </w:rPr>
        <w:t xml:space="preserve">empresas de </w:t>
      </w:r>
      <w:proofErr w:type="spellStart"/>
      <w:r w:rsidR="005B4D13" w:rsidRPr="00035880">
        <w:rPr>
          <w:rFonts w:cs="Arial"/>
          <w:sz w:val="24"/>
          <w:szCs w:val="24"/>
        </w:rPr>
        <w:t>MGs</w:t>
      </w:r>
      <w:proofErr w:type="spellEnd"/>
      <w:r w:rsidR="005B4D13" w:rsidRPr="00035880">
        <w:rPr>
          <w:rFonts w:cs="Arial"/>
          <w:sz w:val="24"/>
          <w:szCs w:val="24"/>
        </w:rPr>
        <w:t xml:space="preserve"> que conquistaram quota de mercado mais significativa e aceleraram a perda do </w:t>
      </w:r>
      <w:proofErr w:type="spellStart"/>
      <w:r w:rsidR="005B4D13" w:rsidRPr="00035880">
        <w:rPr>
          <w:rFonts w:cs="Arial"/>
          <w:sz w:val="24"/>
          <w:szCs w:val="24"/>
        </w:rPr>
        <w:t>Plavix</w:t>
      </w:r>
      <w:proofErr w:type="spellEnd"/>
      <w:r w:rsidR="005B4D13" w:rsidRPr="00035880">
        <w:rPr>
          <w:rFonts w:cs="Arial"/>
          <w:sz w:val="24"/>
          <w:szCs w:val="24"/>
        </w:rPr>
        <w:t xml:space="preserve"> são as que visitam o médico.</w:t>
      </w:r>
      <w:r w:rsidR="00035880" w:rsidRPr="00035880">
        <w:rPr>
          <w:rFonts w:cs="Arial"/>
          <w:sz w:val="24"/>
          <w:szCs w:val="24"/>
        </w:rPr>
        <w:t xml:space="preserve"> Com o </w:t>
      </w:r>
      <w:proofErr w:type="spellStart"/>
      <w:r w:rsidR="00035880" w:rsidRPr="00035880">
        <w:rPr>
          <w:rFonts w:cs="Arial"/>
          <w:sz w:val="24"/>
          <w:szCs w:val="24"/>
        </w:rPr>
        <w:t>Donepezilo</w:t>
      </w:r>
      <w:proofErr w:type="spellEnd"/>
      <w:r w:rsidR="00035880" w:rsidRPr="00035880">
        <w:rPr>
          <w:rFonts w:cs="Arial"/>
          <w:sz w:val="24"/>
          <w:szCs w:val="24"/>
        </w:rPr>
        <w:t xml:space="preserve"> (</w:t>
      </w:r>
      <w:proofErr w:type="spellStart"/>
      <w:r w:rsidR="00035880" w:rsidRPr="00035880">
        <w:rPr>
          <w:rFonts w:cs="Arial"/>
          <w:sz w:val="24"/>
          <w:szCs w:val="24"/>
        </w:rPr>
        <w:t>Aricept</w:t>
      </w:r>
      <w:proofErr w:type="spellEnd"/>
      <w:r w:rsidR="00035880" w:rsidRPr="00035880">
        <w:rPr>
          <w:rFonts w:cs="Arial"/>
          <w:sz w:val="24"/>
          <w:szCs w:val="24"/>
        </w:rPr>
        <w:t xml:space="preserve">), </w:t>
      </w:r>
      <w:r w:rsidR="00035880" w:rsidRPr="00035880">
        <w:rPr>
          <w:rFonts w:cs="Times New Roman"/>
          <w:sz w:val="24"/>
          <w:szCs w:val="24"/>
        </w:rPr>
        <w:t>um in</w:t>
      </w:r>
      <w:r w:rsidR="00035880" w:rsidRPr="004E1DC1">
        <w:rPr>
          <w:rFonts w:cs="Times New Roman"/>
          <w:sz w:val="24"/>
          <w:szCs w:val="24"/>
        </w:rPr>
        <w:t xml:space="preserve">ibidor específico e reversível da </w:t>
      </w:r>
      <w:proofErr w:type="spellStart"/>
      <w:r w:rsidR="00035880" w:rsidRPr="004E1DC1">
        <w:rPr>
          <w:rFonts w:cs="Times New Roman"/>
          <w:sz w:val="24"/>
          <w:szCs w:val="24"/>
        </w:rPr>
        <w:t>acetilcolinesterase</w:t>
      </w:r>
      <w:proofErr w:type="spellEnd"/>
      <w:r w:rsidR="00035880" w:rsidRPr="004E1DC1">
        <w:rPr>
          <w:rFonts w:cs="Times New Roman"/>
          <w:sz w:val="24"/>
          <w:szCs w:val="24"/>
        </w:rPr>
        <w:t>, de preço muito elevado,</w:t>
      </w:r>
      <w:r w:rsidR="00035880" w:rsidRPr="004E1DC1">
        <w:rPr>
          <w:rFonts w:cs="Arial"/>
          <w:sz w:val="24"/>
          <w:szCs w:val="24"/>
        </w:rPr>
        <w:t xml:space="preserve"> passou-se precisamente o mesmo.</w:t>
      </w:r>
    </w:p>
    <w:p w:rsidR="00947854" w:rsidRDefault="00947854" w:rsidP="00947854">
      <w:pPr>
        <w:spacing w:before="240" w:after="0" w:line="320" w:lineRule="atLeast"/>
        <w:jc w:val="both"/>
        <w:rPr>
          <w:rFonts w:ascii="Calibri" w:eastAsia="Calibri" w:hAnsi="Calibri" w:cs="Times New Roman"/>
          <w:sz w:val="24"/>
          <w:szCs w:val="24"/>
        </w:rPr>
      </w:pPr>
      <w:r>
        <w:rPr>
          <w:rFonts w:ascii="Calibri" w:eastAsia="Calibri" w:hAnsi="Calibri" w:cs="Times New Roman"/>
          <w:sz w:val="24"/>
          <w:szCs w:val="24"/>
        </w:rPr>
        <w:t xml:space="preserve">Se subsistem dúvidas se o médico português aderiu aos genéricos atentemos nos seguintes dados de quota de mercado anualizada (IMS MAT Junho </w:t>
      </w:r>
      <w:proofErr w:type="gramStart"/>
      <w:r>
        <w:rPr>
          <w:rFonts w:ascii="Calibri" w:eastAsia="Calibri" w:hAnsi="Calibri" w:cs="Times New Roman"/>
          <w:sz w:val="24"/>
          <w:szCs w:val="24"/>
        </w:rPr>
        <w:t xml:space="preserve">2011) </w:t>
      </w:r>
      <w:proofErr w:type="gramEnd"/>
      <w:r>
        <w:rPr>
          <w:rFonts w:ascii="Calibri" w:eastAsia="Calibri" w:hAnsi="Calibri" w:cs="Times New Roman"/>
          <w:sz w:val="24"/>
          <w:szCs w:val="24"/>
        </w:rPr>
        <w:t xml:space="preserve">: </w:t>
      </w:r>
      <w:proofErr w:type="spellStart"/>
      <w:r>
        <w:rPr>
          <w:rFonts w:ascii="Calibri" w:eastAsia="Calibri" w:hAnsi="Calibri" w:cs="Times New Roman"/>
          <w:sz w:val="24"/>
          <w:szCs w:val="24"/>
        </w:rPr>
        <w:t>Omeprazole</w:t>
      </w:r>
      <w:proofErr w:type="spellEnd"/>
      <w:r>
        <w:rPr>
          <w:rFonts w:ascii="Calibri" w:eastAsia="Calibri" w:hAnsi="Calibri" w:cs="Times New Roman"/>
          <w:sz w:val="24"/>
          <w:szCs w:val="24"/>
        </w:rPr>
        <w:t xml:space="preserve"> 90%, </w:t>
      </w:r>
      <w:proofErr w:type="spellStart"/>
      <w:r>
        <w:rPr>
          <w:rFonts w:ascii="Calibri" w:eastAsia="Calibri" w:hAnsi="Calibri" w:cs="Times New Roman"/>
          <w:sz w:val="24"/>
          <w:szCs w:val="24"/>
        </w:rPr>
        <w:t>Clopidogrel</w:t>
      </w:r>
      <w:proofErr w:type="spellEnd"/>
      <w:r>
        <w:rPr>
          <w:rFonts w:ascii="Calibri" w:eastAsia="Calibri" w:hAnsi="Calibri" w:cs="Times New Roman"/>
          <w:sz w:val="24"/>
          <w:szCs w:val="24"/>
        </w:rPr>
        <w:t xml:space="preserve">, 79%, </w:t>
      </w:r>
      <w:proofErr w:type="spellStart"/>
      <w:r>
        <w:rPr>
          <w:rFonts w:ascii="Calibri" w:eastAsia="Calibri" w:hAnsi="Calibri" w:cs="Times New Roman"/>
          <w:sz w:val="24"/>
          <w:szCs w:val="24"/>
        </w:rPr>
        <w:t>Sinvastatina</w:t>
      </w:r>
      <w:proofErr w:type="spellEnd"/>
      <w:r>
        <w:rPr>
          <w:rFonts w:ascii="Calibri" w:eastAsia="Calibri" w:hAnsi="Calibri" w:cs="Times New Roman"/>
          <w:sz w:val="24"/>
          <w:szCs w:val="24"/>
        </w:rPr>
        <w:t xml:space="preserve"> 93%, </w:t>
      </w:r>
      <w:proofErr w:type="spellStart"/>
      <w:r>
        <w:rPr>
          <w:rFonts w:ascii="Calibri" w:eastAsia="Calibri" w:hAnsi="Calibri" w:cs="Times New Roman"/>
          <w:sz w:val="24"/>
          <w:szCs w:val="24"/>
        </w:rPr>
        <w:t>Atorvastatina</w:t>
      </w:r>
      <w:proofErr w:type="spellEnd"/>
      <w:r>
        <w:rPr>
          <w:rFonts w:ascii="Calibri" w:eastAsia="Calibri" w:hAnsi="Calibri" w:cs="Times New Roman"/>
          <w:sz w:val="24"/>
          <w:szCs w:val="24"/>
        </w:rPr>
        <w:t xml:space="preserve"> 21% (mas já com 50% após apenas seis meses de comercialização), </w:t>
      </w:r>
      <w:proofErr w:type="spellStart"/>
      <w:r>
        <w:rPr>
          <w:rFonts w:ascii="Calibri" w:eastAsia="Calibri" w:hAnsi="Calibri" w:cs="Times New Roman"/>
          <w:sz w:val="24"/>
          <w:szCs w:val="24"/>
        </w:rPr>
        <w:t>Pantoprazole</w:t>
      </w:r>
      <w:proofErr w:type="spellEnd"/>
      <w:r>
        <w:rPr>
          <w:rFonts w:ascii="Calibri" w:eastAsia="Calibri" w:hAnsi="Calibri" w:cs="Times New Roman"/>
          <w:sz w:val="24"/>
          <w:szCs w:val="24"/>
        </w:rPr>
        <w:t xml:space="preserve"> 80%, </w:t>
      </w:r>
      <w:proofErr w:type="spellStart"/>
      <w:r>
        <w:rPr>
          <w:rFonts w:ascii="Calibri" w:eastAsia="Calibri" w:hAnsi="Calibri" w:cs="Times New Roman"/>
          <w:sz w:val="24"/>
          <w:szCs w:val="24"/>
        </w:rPr>
        <w:t>Losartan</w:t>
      </w:r>
      <w:proofErr w:type="spellEnd"/>
      <w:r>
        <w:rPr>
          <w:rFonts w:ascii="Calibri" w:eastAsia="Calibri" w:hAnsi="Calibri" w:cs="Times New Roman"/>
          <w:sz w:val="24"/>
          <w:szCs w:val="24"/>
        </w:rPr>
        <w:t xml:space="preserve"> + </w:t>
      </w:r>
      <w:proofErr w:type="spellStart"/>
      <w:r>
        <w:rPr>
          <w:rFonts w:ascii="Calibri" w:eastAsia="Calibri" w:hAnsi="Calibri" w:cs="Times New Roman"/>
          <w:sz w:val="24"/>
          <w:szCs w:val="24"/>
        </w:rPr>
        <w:t>Hidroclorotiazida</w:t>
      </w:r>
      <w:proofErr w:type="spellEnd"/>
      <w:r>
        <w:rPr>
          <w:rFonts w:ascii="Calibri" w:eastAsia="Calibri" w:hAnsi="Calibri" w:cs="Times New Roman"/>
          <w:sz w:val="24"/>
          <w:szCs w:val="24"/>
        </w:rPr>
        <w:t xml:space="preserve"> 69%, </w:t>
      </w:r>
      <w:proofErr w:type="spellStart"/>
      <w:r>
        <w:rPr>
          <w:rFonts w:ascii="Calibri" w:eastAsia="Calibri" w:hAnsi="Calibri" w:cs="Times New Roman"/>
          <w:sz w:val="24"/>
          <w:szCs w:val="24"/>
        </w:rPr>
        <w:t>Risperidona</w:t>
      </w:r>
      <w:proofErr w:type="spellEnd"/>
      <w:r>
        <w:rPr>
          <w:rFonts w:ascii="Calibri" w:eastAsia="Calibri" w:hAnsi="Calibri" w:cs="Times New Roman"/>
          <w:sz w:val="24"/>
          <w:szCs w:val="24"/>
        </w:rPr>
        <w:t xml:space="preserve"> 69%, </w:t>
      </w:r>
      <w:proofErr w:type="spellStart"/>
      <w:r>
        <w:rPr>
          <w:rFonts w:ascii="Calibri" w:eastAsia="Calibri" w:hAnsi="Calibri" w:cs="Times New Roman"/>
          <w:sz w:val="24"/>
          <w:szCs w:val="24"/>
        </w:rPr>
        <w:t>Lansoprazole</w:t>
      </w:r>
      <w:proofErr w:type="spellEnd"/>
      <w:r>
        <w:rPr>
          <w:rFonts w:ascii="Calibri" w:eastAsia="Calibri" w:hAnsi="Calibri" w:cs="Times New Roman"/>
          <w:sz w:val="24"/>
          <w:szCs w:val="24"/>
        </w:rPr>
        <w:t xml:space="preserve"> 83%, </w:t>
      </w:r>
      <w:proofErr w:type="spellStart"/>
      <w:r>
        <w:rPr>
          <w:rFonts w:ascii="Calibri" w:eastAsia="Calibri" w:hAnsi="Calibri" w:cs="Times New Roman"/>
          <w:sz w:val="24"/>
          <w:szCs w:val="24"/>
        </w:rPr>
        <w:t>Donepezilo</w:t>
      </w:r>
      <w:proofErr w:type="spellEnd"/>
      <w:r>
        <w:rPr>
          <w:rFonts w:ascii="Calibri" w:eastAsia="Calibri" w:hAnsi="Calibri" w:cs="Times New Roman"/>
          <w:sz w:val="24"/>
          <w:szCs w:val="24"/>
        </w:rPr>
        <w:t xml:space="preserve"> 71%, </w:t>
      </w:r>
      <w:proofErr w:type="spellStart"/>
      <w:r>
        <w:rPr>
          <w:rFonts w:ascii="Calibri" w:eastAsia="Calibri" w:hAnsi="Calibri" w:cs="Times New Roman"/>
          <w:sz w:val="24"/>
          <w:szCs w:val="24"/>
        </w:rPr>
        <w:t>Pravastatina</w:t>
      </w:r>
      <w:proofErr w:type="spellEnd"/>
      <w:r>
        <w:rPr>
          <w:rFonts w:ascii="Calibri" w:eastAsia="Calibri" w:hAnsi="Calibri" w:cs="Times New Roman"/>
          <w:sz w:val="24"/>
          <w:szCs w:val="24"/>
        </w:rPr>
        <w:t xml:space="preserve"> 84%, </w:t>
      </w:r>
      <w:proofErr w:type="spellStart"/>
      <w:r>
        <w:rPr>
          <w:rFonts w:ascii="Calibri" w:eastAsia="Calibri" w:hAnsi="Calibri" w:cs="Times New Roman"/>
          <w:sz w:val="24"/>
          <w:szCs w:val="24"/>
        </w:rPr>
        <w:t>Venlafaxina</w:t>
      </w:r>
      <w:proofErr w:type="spellEnd"/>
      <w:r>
        <w:rPr>
          <w:rFonts w:ascii="Calibri" w:eastAsia="Calibri" w:hAnsi="Calibri" w:cs="Times New Roman"/>
          <w:sz w:val="24"/>
          <w:szCs w:val="24"/>
        </w:rPr>
        <w:t xml:space="preserve"> 63%, </w:t>
      </w:r>
      <w:proofErr w:type="spellStart"/>
      <w:r>
        <w:rPr>
          <w:rFonts w:ascii="Calibri" w:eastAsia="Calibri" w:hAnsi="Calibri" w:cs="Times New Roman"/>
          <w:sz w:val="24"/>
          <w:szCs w:val="24"/>
        </w:rPr>
        <w:t>Sertralina</w:t>
      </w:r>
      <w:proofErr w:type="spellEnd"/>
      <w:r>
        <w:rPr>
          <w:rFonts w:ascii="Calibri" w:eastAsia="Calibri" w:hAnsi="Calibri" w:cs="Times New Roman"/>
          <w:sz w:val="24"/>
          <w:szCs w:val="24"/>
        </w:rPr>
        <w:t xml:space="preserve"> 84%, </w:t>
      </w:r>
      <w:proofErr w:type="spellStart"/>
      <w:r>
        <w:rPr>
          <w:rFonts w:ascii="Calibri" w:eastAsia="Calibri" w:hAnsi="Calibri" w:cs="Times New Roman"/>
          <w:sz w:val="24"/>
          <w:szCs w:val="24"/>
        </w:rPr>
        <w:t>Tansulosina</w:t>
      </w:r>
      <w:proofErr w:type="spellEnd"/>
      <w:r>
        <w:rPr>
          <w:rFonts w:ascii="Calibri" w:eastAsia="Calibri" w:hAnsi="Calibri" w:cs="Times New Roman"/>
          <w:sz w:val="24"/>
          <w:szCs w:val="24"/>
        </w:rPr>
        <w:t xml:space="preserve"> 64%, </w:t>
      </w:r>
      <w:proofErr w:type="spellStart"/>
      <w:r>
        <w:rPr>
          <w:rFonts w:ascii="Calibri" w:eastAsia="Calibri" w:hAnsi="Calibri" w:cs="Times New Roman"/>
          <w:sz w:val="24"/>
          <w:szCs w:val="24"/>
        </w:rPr>
        <w:t>Fluoxetina</w:t>
      </w:r>
      <w:proofErr w:type="spellEnd"/>
      <w:r>
        <w:rPr>
          <w:rFonts w:ascii="Calibri" w:eastAsia="Calibri" w:hAnsi="Calibri" w:cs="Times New Roman"/>
          <w:sz w:val="24"/>
          <w:szCs w:val="24"/>
        </w:rPr>
        <w:t xml:space="preserve"> 80%, </w:t>
      </w:r>
      <w:proofErr w:type="spellStart"/>
      <w:r>
        <w:rPr>
          <w:rFonts w:ascii="Calibri" w:eastAsia="Calibri" w:hAnsi="Calibri" w:cs="Times New Roman"/>
          <w:sz w:val="24"/>
          <w:szCs w:val="24"/>
        </w:rPr>
        <w:t>Ramipril</w:t>
      </w:r>
      <w:proofErr w:type="spellEnd"/>
      <w:r>
        <w:rPr>
          <w:rFonts w:ascii="Calibri" w:eastAsia="Calibri" w:hAnsi="Calibri" w:cs="Times New Roman"/>
          <w:sz w:val="24"/>
          <w:szCs w:val="24"/>
        </w:rPr>
        <w:t xml:space="preserve"> 81%, </w:t>
      </w:r>
      <w:proofErr w:type="spellStart"/>
      <w:r>
        <w:rPr>
          <w:rFonts w:ascii="Calibri" w:eastAsia="Calibri" w:hAnsi="Calibri" w:cs="Times New Roman"/>
          <w:sz w:val="24"/>
          <w:szCs w:val="24"/>
        </w:rPr>
        <w:t>Irbesartan</w:t>
      </w:r>
      <w:proofErr w:type="spellEnd"/>
      <w:r>
        <w:rPr>
          <w:rFonts w:ascii="Calibri" w:eastAsia="Calibri" w:hAnsi="Calibri" w:cs="Times New Roman"/>
          <w:sz w:val="24"/>
          <w:szCs w:val="24"/>
        </w:rPr>
        <w:t xml:space="preserve"> 60%, </w:t>
      </w:r>
      <w:proofErr w:type="spellStart"/>
      <w:r>
        <w:rPr>
          <w:rFonts w:ascii="Calibri" w:eastAsia="Calibri" w:hAnsi="Calibri" w:cs="Times New Roman"/>
          <w:sz w:val="24"/>
          <w:szCs w:val="24"/>
        </w:rPr>
        <w:t>Metformina</w:t>
      </w:r>
      <w:proofErr w:type="spellEnd"/>
      <w:r>
        <w:rPr>
          <w:rFonts w:ascii="Calibri" w:eastAsia="Calibri" w:hAnsi="Calibri" w:cs="Times New Roman"/>
          <w:sz w:val="24"/>
          <w:szCs w:val="24"/>
        </w:rPr>
        <w:t xml:space="preserve"> 46%, </w:t>
      </w:r>
      <w:proofErr w:type="spellStart"/>
      <w:r>
        <w:rPr>
          <w:rFonts w:ascii="Calibri" w:eastAsia="Calibri" w:hAnsi="Calibri" w:cs="Times New Roman"/>
          <w:sz w:val="24"/>
          <w:szCs w:val="24"/>
        </w:rPr>
        <w:t>Finasterida</w:t>
      </w:r>
      <w:proofErr w:type="spellEnd"/>
      <w:r>
        <w:rPr>
          <w:rFonts w:ascii="Calibri" w:eastAsia="Calibri" w:hAnsi="Calibri" w:cs="Times New Roman"/>
          <w:sz w:val="24"/>
          <w:szCs w:val="24"/>
        </w:rPr>
        <w:t xml:space="preserve"> 89%, </w:t>
      </w:r>
      <w:proofErr w:type="spellStart"/>
      <w:r>
        <w:rPr>
          <w:rFonts w:ascii="Calibri" w:eastAsia="Calibri" w:hAnsi="Calibri" w:cs="Times New Roman"/>
          <w:sz w:val="24"/>
          <w:szCs w:val="24"/>
        </w:rPr>
        <w:t>Paroxetina</w:t>
      </w:r>
      <w:proofErr w:type="spellEnd"/>
      <w:r>
        <w:rPr>
          <w:rFonts w:ascii="Calibri" w:eastAsia="Calibri" w:hAnsi="Calibri" w:cs="Times New Roman"/>
          <w:sz w:val="24"/>
          <w:szCs w:val="24"/>
        </w:rPr>
        <w:t xml:space="preserve"> 80%, </w:t>
      </w:r>
      <w:proofErr w:type="spellStart"/>
      <w:r>
        <w:rPr>
          <w:rFonts w:ascii="Calibri" w:eastAsia="Calibri" w:hAnsi="Calibri" w:cs="Times New Roman"/>
          <w:sz w:val="24"/>
          <w:szCs w:val="24"/>
        </w:rPr>
        <w:t>Amlodipina</w:t>
      </w:r>
      <w:proofErr w:type="spellEnd"/>
      <w:r>
        <w:rPr>
          <w:rFonts w:ascii="Calibri" w:eastAsia="Calibri" w:hAnsi="Calibri" w:cs="Times New Roman"/>
          <w:sz w:val="24"/>
          <w:szCs w:val="24"/>
        </w:rPr>
        <w:t xml:space="preserve"> 73, </w:t>
      </w:r>
      <w:proofErr w:type="spellStart"/>
      <w:r>
        <w:rPr>
          <w:rFonts w:ascii="Calibri" w:eastAsia="Calibri" w:hAnsi="Calibri" w:cs="Times New Roman"/>
          <w:sz w:val="24"/>
          <w:szCs w:val="24"/>
        </w:rPr>
        <w:t>Topiramato</w:t>
      </w:r>
      <w:proofErr w:type="spellEnd"/>
      <w:r>
        <w:rPr>
          <w:rFonts w:ascii="Calibri" w:eastAsia="Calibri" w:hAnsi="Calibri" w:cs="Times New Roman"/>
          <w:sz w:val="24"/>
          <w:szCs w:val="24"/>
        </w:rPr>
        <w:t xml:space="preserve"> 59%, </w:t>
      </w:r>
      <w:proofErr w:type="spellStart"/>
      <w:r>
        <w:rPr>
          <w:rFonts w:ascii="Calibri" w:eastAsia="Calibri" w:hAnsi="Calibri" w:cs="Times New Roman"/>
          <w:sz w:val="24"/>
          <w:szCs w:val="24"/>
        </w:rPr>
        <w:t>Ciprofloxacina</w:t>
      </w:r>
      <w:proofErr w:type="spellEnd"/>
      <w:r>
        <w:rPr>
          <w:rFonts w:ascii="Calibri" w:eastAsia="Calibri" w:hAnsi="Calibri" w:cs="Times New Roman"/>
          <w:sz w:val="24"/>
          <w:szCs w:val="24"/>
        </w:rPr>
        <w:t xml:space="preserve"> 87%. </w:t>
      </w:r>
    </w:p>
    <w:p w:rsidR="00947854" w:rsidRPr="00947854" w:rsidRDefault="00947854" w:rsidP="004E1DC1">
      <w:pPr>
        <w:spacing w:before="240" w:after="0" w:line="320" w:lineRule="atLeast"/>
        <w:jc w:val="both"/>
        <w:rPr>
          <w:sz w:val="24"/>
          <w:szCs w:val="24"/>
        </w:rPr>
      </w:pPr>
      <w:r>
        <w:rPr>
          <w:rFonts w:ascii="Calibri" w:eastAsia="Calibri" w:hAnsi="Calibri" w:cs="Times New Roman"/>
          <w:sz w:val="24"/>
          <w:szCs w:val="24"/>
        </w:rPr>
        <w:t>Estes dados são referentes ao Top 75 de vendas em Portugal, naturalmente só considerando as moléculas para as quais existe gené</w:t>
      </w:r>
      <w:r>
        <w:rPr>
          <w:sz w:val="24"/>
          <w:szCs w:val="24"/>
        </w:rPr>
        <w:t xml:space="preserve">rico disponível. </w:t>
      </w:r>
    </w:p>
    <w:p w:rsidR="00947854" w:rsidRPr="004E1DC1" w:rsidRDefault="00947854" w:rsidP="00947854">
      <w:pPr>
        <w:spacing w:before="240" w:after="0" w:line="320" w:lineRule="atLeast"/>
        <w:jc w:val="both"/>
        <w:rPr>
          <w:rFonts w:ascii="Calibri" w:eastAsia="Calibri" w:hAnsi="Calibri" w:cs="Arial"/>
          <w:sz w:val="24"/>
          <w:szCs w:val="24"/>
        </w:rPr>
      </w:pPr>
      <w:r>
        <w:rPr>
          <w:rFonts w:ascii="Calibri" w:eastAsia="Calibri" w:hAnsi="Calibri" w:cs="Arial"/>
          <w:sz w:val="24"/>
          <w:szCs w:val="24"/>
        </w:rPr>
        <w:t>Repetimos que não pode esquecer-se que a taxa de prescrição de genéricos de qualquer molécula dificilmente será alguma vez de 100%, porque há doentes que se recusam a tomar genéricos quer porque, depois de terem experimentado, alegam que não é igual no efeito e/ou na tolerabilidade, quer porque a diferença de preço com original não o justifica, ou por qualquer outro motivo.</w:t>
      </w:r>
    </w:p>
    <w:p w:rsidR="004E1DC1" w:rsidRDefault="004E1DC1" w:rsidP="004E1DC1">
      <w:pPr>
        <w:spacing w:before="240" w:after="0" w:line="320" w:lineRule="atLeast"/>
        <w:jc w:val="both"/>
        <w:rPr>
          <w:rFonts w:cs="Arial"/>
          <w:bCs/>
          <w:sz w:val="24"/>
          <w:szCs w:val="24"/>
        </w:rPr>
      </w:pPr>
      <w:r w:rsidRPr="004E1DC1">
        <w:rPr>
          <w:rFonts w:cs="Arial"/>
          <w:sz w:val="24"/>
          <w:szCs w:val="24"/>
        </w:rPr>
        <w:t xml:space="preserve">Mais ainda, </w:t>
      </w:r>
      <w:r>
        <w:rPr>
          <w:rFonts w:cs="Arial"/>
          <w:sz w:val="24"/>
          <w:szCs w:val="24"/>
        </w:rPr>
        <w:t>acima de</w:t>
      </w:r>
      <w:r w:rsidRPr="004E1DC1">
        <w:rPr>
          <w:rFonts w:cs="Arial"/>
          <w:sz w:val="24"/>
          <w:szCs w:val="24"/>
        </w:rPr>
        <w:t xml:space="preserve"> </w:t>
      </w:r>
      <w:r>
        <w:rPr>
          <w:rFonts w:cs="Arial"/>
          <w:bCs/>
          <w:sz w:val="24"/>
          <w:szCs w:val="24"/>
        </w:rPr>
        <w:t>60</w:t>
      </w:r>
      <w:r w:rsidRPr="004E1DC1">
        <w:rPr>
          <w:rFonts w:cs="Arial"/>
          <w:bCs/>
          <w:sz w:val="24"/>
          <w:szCs w:val="24"/>
        </w:rPr>
        <w:t xml:space="preserve">% </w:t>
      </w:r>
      <w:r w:rsidRPr="004E1DC1">
        <w:rPr>
          <w:rFonts w:cs="Arial"/>
          <w:sz w:val="24"/>
          <w:szCs w:val="24"/>
        </w:rPr>
        <w:t xml:space="preserve">das prescrições estão </w:t>
      </w:r>
      <w:r w:rsidRPr="004E1DC1">
        <w:rPr>
          <w:rFonts w:cs="Arial"/>
          <w:bCs/>
          <w:sz w:val="24"/>
          <w:szCs w:val="24"/>
        </w:rPr>
        <w:t>desbloqueadas</w:t>
      </w:r>
      <w:r w:rsidR="00947854">
        <w:rPr>
          <w:rFonts w:cs="Arial"/>
          <w:bCs/>
          <w:sz w:val="24"/>
          <w:szCs w:val="24"/>
        </w:rPr>
        <w:t>, permitindo a substituição,</w:t>
      </w:r>
      <w:r w:rsidRPr="004E1DC1">
        <w:rPr>
          <w:rFonts w:cs="Arial"/>
          <w:bCs/>
          <w:sz w:val="24"/>
          <w:szCs w:val="24"/>
        </w:rPr>
        <w:t xml:space="preserve"> </w:t>
      </w:r>
      <w:r w:rsidRPr="004E1DC1">
        <w:rPr>
          <w:rFonts w:cs="Arial"/>
          <w:sz w:val="24"/>
          <w:szCs w:val="24"/>
        </w:rPr>
        <w:t>e dentro das</w:t>
      </w:r>
      <w:r>
        <w:rPr>
          <w:rFonts w:cs="Arial"/>
          <w:sz w:val="24"/>
          <w:szCs w:val="24"/>
        </w:rPr>
        <w:t xml:space="preserve"> </w:t>
      </w:r>
      <w:r w:rsidRPr="004E1DC1">
        <w:rPr>
          <w:rFonts w:cs="Arial"/>
          <w:sz w:val="24"/>
          <w:szCs w:val="24"/>
        </w:rPr>
        <w:t xml:space="preserve">bloqueadas </w:t>
      </w:r>
      <w:r w:rsidRPr="004E1DC1">
        <w:rPr>
          <w:rFonts w:cs="Arial"/>
          <w:bCs/>
          <w:sz w:val="24"/>
          <w:szCs w:val="24"/>
        </w:rPr>
        <w:t>muitas serão prescrições de genéricos</w:t>
      </w:r>
      <w:r w:rsidR="00EE6D9D">
        <w:rPr>
          <w:rFonts w:cs="Arial"/>
          <w:bCs/>
          <w:sz w:val="24"/>
          <w:szCs w:val="24"/>
        </w:rPr>
        <w:t>. É por demais evidente que n</w:t>
      </w:r>
      <w:r>
        <w:rPr>
          <w:rFonts w:cs="Arial"/>
          <w:bCs/>
          <w:sz w:val="24"/>
          <w:szCs w:val="24"/>
        </w:rPr>
        <w:t>ão há resistências aos genéricos</w:t>
      </w:r>
      <w:r w:rsidR="00EE6D9D">
        <w:rPr>
          <w:rFonts w:cs="Arial"/>
          <w:bCs/>
          <w:sz w:val="24"/>
          <w:szCs w:val="24"/>
        </w:rPr>
        <w:t xml:space="preserve"> por parte da generalidade dos médicos</w:t>
      </w:r>
      <w:r>
        <w:rPr>
          <w:rFonts w:cs="Arial"/>
          <w:bCs/>
          <w:sz w:val="24"/>
          <w:szCs w:val="24"/>
        </w:rPr>
        <w:t xml:space="preserve">, há sim </w:t>
      </w:r>
      <w:r w:rsidR="00EE6D9D">
        <w:rPr>
          <w:rFonts w:cs="Arial"/>
          <w:bCs/>
          <w:sz w:val="24"/>
          <w:szCs w:val="24"/>
        </w:rPr>
        <w:t xml:space="preserve">uma e fundamentada </w:t>
      </w:r>
      <w:r>
        <w:rPr>
          <w:rFonts w:cs="Arial"/>
          <w:bCs/>
          <w:sz w:val="24"/>
          <w:szCs w:val="24"/>
        </w:rPr>
        <w:t>resistência à alteração da prescrição médica nas farmácias.</w:t>
      </w:r>
    </w:p>
    <w:p w:rsidR="00517EEF" w:rsidRDefault="00517EEF" w:rsidP="004E1DC1">
      <w:pPr>
        <w:spacing w:before="240" w:after="0" w:line="320" w:lineRule="atLeast"/>
        <w:jc w:val="both"/>
        <w:rPr>
          <w:rFonts w:cs="Arial"/>
          <w:bCs/>
          <w:sz w:val="24"/>
          <w:szCs w:val="24"/>
        </w:rPr>
      </w:pPr>
      <w:r>
        <w:rPr>
          <w:rFonts w:cs="Arial"/>
          <w:bCs/>
          <w:sz w:val="24"/>
          <w:szCs w:val="24"/>
        </w:rPr>
        <w:lastRenderedPageBreak/>
        <w:t xml:space="preserve">Aliás, nos países europeus onde a taxa de prescrição de genéricos é mais elevada, a prescrição por DCI </w:t>
      </w:r>
      <w:r w:rsidRPr="00517EEF">
        <w:rPr>
          <w:rFonts w:cs="Arial"/>
          <w:bCs/>
          <w:sz w:val="24"/>
          <w:szCs w:val="24"/>
          <w:u w:val="single"/>
        </w:rPr>
        <w:t>não</w:t>
      </w:r>
      <w:r>
        <w:rPr>
          <w:rFonts w:cs="Arial"/>
          <w:bCs/>
          <w:sz w:val="24"/>
          <w:szCs w:val="24"/>
        </w:rPr>
        <w:t xml:space="preserve"> é obrigatória.</w:t>
      </w:r>
    </w:p>
    <w:p w:rsidR="00947854" w:rsidRPr="00B57D4C" w:rsidRDefault="00947854" w:rsidP="00947854">
      <w:pPr>
        <w:spacing w:before="240" w:after="0" w:line="320" w:lineRule="atLeast"/>
        <w:jc w:val="both"/>
        <w:rPr>
          <w:rFonts w:ascii="Calibri" w:eastAsia="Calibri" w:hAnsi="Calibri" w:cs="Arial"/>
          <w:bCs/>
          <w:sz w:val="24"/>
          <w:szCs w:val="24"/>
        </w:rPr>
      </w:pPr>
      <w:r>
        <w:rPr>
          <w:rFonts w:ascii="Calibri" w:eastAsia="Calibri" w:hAnsi="Calibri" w:cs="Arial"/>
          <w:bCs/>
          <w:sz w:val="24"/>
          <w:szCs w:val="24"/>
        </w:rPr>
        <w:t xml:space="preserve">Para aumentar a taxa de prescrição de genéricos em Portugal, o que é essencial é eliminar as barreiras </w:t>
      </w:r>
      <w:proofErr w:type="spellStart"/>
      <w:r>
        <w:rPr>
          <w:rFonts w:ascii="Calibri" w:eastAsia="Calibri" w:hAnsi="Calibri" w:cs="Arial"/>
          <w:bCs/>
          <w:sz w:val="24"/>
          <w:szCs w:val="24"/>
        </w:rPr>
        <w:t>burocrático-jurídicas</w:t>
      </w:r>
      <w:proofErr w:type="spellEnd"/>
      <w:r>
        <w:rPr>
          <w:rFonts w:ascii="Calibri" w:eastAsia="Calibri" w:hAnsi="Calibri" w:cs="Arial"/>
          <w:bCs/>
          <w:sz w:val="24"/>
          <w:szCs w:val="24"/>
        </w:rPr>
        <w:t xml:space="preserve"> à autorização da introdução de genéricos de novos fármacos. Actualmente encontram-se retidas pelo tribunal as autorizações para a passagem a genérico de cerca de 40 novas moléculas. Atente-se no cas</w:t>
      </w:r>
      <w:r>
        <w:rPr>
          <w:rFonts w:cs="Arial"/>
          <w:bCs/>
          <w:sz w:val="24"/>
          <w:szCs w:val="24"/>
        </w:rPr>
        <w:t xml:space="preserve">o da </w:t>
      </w:r>
      <w:proofErr w:type="spellStart"/>
      <w:r>
        <w:rPr>
          <w:rFonts w:cs="Arial"/>
          <w:bCs/>
          <w:sz w:val="24"/>
          <w:szCs w:val="24"/>
        </w:rPr>
        <w:t>Atovastatina</w:t>
      </w:r>
      <w:proofErr w:type="spellEnd"/>
      <w:r>
        <w:rPr>
          <w:rFonts w:cs="Arial"/>
          <w:bCs/>
          <w:sz w:val="24"/>
          <w:szCs w:val="24"/>
        </w:rPr>
        <w:t>, onde apenas dois</w:t>
      </w:r>
      <w:r>
        <w:rPr>
          <w:rFonts w:ascii="Calibri" w:eastAsia="Calibri" w:hAnsi="Calibri" w:cs="Arial"/>
          <w:bCs/>
          <w:sz w:val="24"/>
          <w:szCs w:val="24"/>
        </w:rPr>
        <w:t xml:space="preserve"> ou </w:t>
      </w:r>
      <w:r>
        <w:rPr>
          <w:rFonts w:cs="Arial"/>
          <w:bCs/>
          <w:sz w:val="24"/>
          <w:szCs w:val="24"/>
        </w:rPr>
        <w:t>três</w:t>
      </w:r>
      <w:r>
        <w:rPr>
          <w:rFonts w:ascii="Calibri" w:eastAsia="Calibri" w:hAnsi="Calibri" w:cs="Arial"/>
          <w:bCs/>
          <w:sz w:val="24"/>
          <w:szCs w:val="24"/>
        </w:rPr>
        <w:t xml:space="preserve"> genéricos co</w:t>
      </w:r>
      <w:r>
        <w:rPr>
          <w:rFonts w:cs="Arial"/>
          <w:bCs/>
          <w:sz w:val="24"/>
          <w:szCs w:val="24"/>
        </w:rPr>
        <w:t>n</w:t>
      </w:r>
      <w:r>
        <w:rPr>
          <w:rFonts w:ascii="Calibri" w:eastAsia="Calibri" w:hAnsi="Calibri" w:cs="Arial"/>
          <w:bCs/>
          <w:sz w:val="24"/>
          <w:szCs w:val="24"/>
        </w:rPr>
        <w:t>seguiram passar o crivo dos tribunais admi</w:t>
      </w:r>
      <w:r>
        <w:rPr>
          <w:rFonts w:cs="Arial"/>
          <w:bCs/>
          <w:sz w:val="24"/>
          <w:szCs w:val="24"/>
        </w:rPr>
        <w:t>nistrativos. Após cerca de seis</w:t>
      </w:r>
      <w:r>
        <w:rPr>
          <w:rFonts w:ascii="Calibri" w:eastAsia="Calibri" w:hAnsi="Calibri" w:cs="Arial"/>
          <w:bCs/>
          <w:sz w:val="24"/>
          <w:szCs w:val="24"/>
        </w:rPr>
        <w:t xml:space="preserve"> meses de comercialização, a sua quota mensal já era superior a 50%. </w:t>
      </w:r>
    </w:p>
    <w:p w:rsidR="00947854" w:rsidRDefault="00947854" w:rsidP="00947854">
      <w:pPr>
        <w:spacing w:before="240" w:after="0" w:line="320" w:lineRule="atLeast"/>
        <w:jc w:val="both"/>
        <w:rPr>
          <w:rFonts w:ascii="Calibri" w:eastAsia="Calibri" w:hAnsi="Calibri" w:cs="Arial"/>
          <w:sz w:val="24"/>
          <w:szCs w:val="24"/>
        </w:rPr>
      </w:pPr>
      <w:r>
        <w:rPr>
          <w:rFonts w:ascii="Calibri" w:eastAsia="Calibri" w:hAnsi="Calibri" w:cs="Times New Roman"/>
          <w:sz w:val="24"/>
          <w:szCs w:val="24"/>
        </w:rPr>
        <w:t xml:space="preserve">Tal como já fizemos anteriormente, chamamos novamente a </w:t>
      </w:r>
      <w:r w:rsidRPr="00EB23DC">
        <w:rPr>
          <w:rFonts w:ascii="Calibri" w:eastAsia="Calibri" w:hAnsi="Calibri" w:cs="Times New Roman"/>
          <w:sz w:val="24"/>
          <w:szCs w:val="24"/>
        </w:rPr>
        <w:t xml:space="preserve">atenção para o facto de </w:t>
      </w:r>
      <w:r>
        <w:rPr>
          <w:rFonts w:ascii="Calibri" w:eastAsia="Calibri" w:hAnsi="Calibri" w:cs="Arial"/>
          <w:sz w:val="24"/>
          <w:szCs w:val="24"/>
        </w:rPr>
        <w:t>e</w:t>
      </w:r>
      <w:r w:rsidRPr="00EB23DC">
        <w:rPr>
          <w:rFonts w:ascii="Calibri" w:eastAsia="Calibri" w:hAnsi="Calibri" w:cs="Arial"/>
          <w:sz w:val="24"/>
          <w:szCs w:val="24"/>
        </w:rPr>
        <w:t>m cada área terapêutica onde existe um medicamento</w:t>
      </w:r>
      <w:r>
        <w:rPr>
          <w:rFonts w:ascii="Calibri" w:eastAsia="Calibri" w:hAnsi="Calibri" w:cs="Arial"/>
          <w:sz w:val="24"/>
          <w:szCs w:val="24"/>
        </w:rPr>
        <w:t xml:space="preserve"> genérico existir</w:t>
      </w:r>
      <w:r w:rsidRPr="00EB23DC">
        <w:rPr>
          <w:rFonts w:ascii="Calibri" w:eastAsia="Calibri" w:hAnsi="Calibri" w:cs="Arial"/>
          <w:sz w:val="24"/>
          <w:szCs w:val="24"/>
        </w:rPr>
        <w:t xml:space="preserve"> como alternativa um medicamento</w:t>
      </w:r>
      <w:r>
        <w:rPr>
          <w:rFonts w:ascii="Calibri" w:eastAsia="Calibri" w:hAnsi="Calibri" w:cs="Arial"/>
          <w:sz w:val="24"/>
          <w:szCs w:val="24"/>
        </w:rPr>
        <w:t xml:space="preserve"> </w:t>
      </w:r>
      <w:r w:rsidRPr="00EB23DC">
        <w:rPr>
          <w:rFonts w:ascii="Calibri" w:eastAsia="Calibri" w:hAnsi="Calibri" w:cs="Arial"/>
          <w:sz w:val="24"/>
          <w:szCs w:val="24"/>
        </w:rPr>
        <w:t>protegido por patente</w:t>
      </w:r>
      <w:r>
        <w:rPr>
          <w:rFonts w:ascii="Calibri" w:eastAsia="Calibri" w:hAnsi="Calibri" w:cs="Arial"/>
          <w:sz w:val="24"/>
          <w:szCs w:val="24"/>
        </w:rPr>
        <w:t>, aprovado e comparticipado pelo INFARMED.</w:t>
      </w:r>
    </w:p>
    <w:p w:rsidR="00947854" w:rsidRDefault="00947854" w:rsidP="00947854">
      <w:pPr>
        <w:spacing w:before="240" w:after="0" w:line="320" w:lineRule="atLeast"/>
        <w:jc w:val="both"/>
        <w:rPr>
          <w:rFonts w:ascii="Calibri" w:eastAsia="Calibri" w:hAnsi="Calibri" w:cs="Arial"/>
          <w:sz w:val="24"/>
          <w:szCs w:val="24"/>
        </w:rPr>
      </w:pPr>
      <w:r>
        <w:rPr>
          <w:rFonts w:ascii="Calibri" w:eastAsia="Calibri" w:hAnsi="Calibri" w:cs="Arial"/>
          <w:sz w:val="24"/>
          <w:szCs w:val="24"/>
        </w:rPr>
        <w:t>Isso significa que, à semelhança do que aconteceu em França, por exemplo, para evitar o risco da substituição permanente e constante de marcas de genéricos por outras marcas de genéricos, o médico opte por seleccionar um medicamento ainda protegido por patente, normalmente com uma pequena inovação terapêutica, e por isso a</w:t>
      </w:r>
      <w:r w:rsidRPr="003C3E9B">
        <w:rPr>
          <w:rFonts w:ascii="Calibri" w:eastAsia="Calibri" w:hAnsi="Calibri" w:cs="Arial"/>
          <w:sz w:val="24"/>
          <w:szCs w:val="24"/>
        </w:rPr>
        <w:t>provado, mas também significativamente mais caro. No final, o prejuízo económico que adviria de um mercado sem limites na substituição de genérico por genérico pode ser significativo.</w:t>
      </w:r>
    </w:p>
    <w:p w:rsidR="00947854" w:rsidRDefault="00947854" w:rsidP="00947854">
      <w:pPr>
        <w:spacing w:before="240" w:after="0" w:line="320" w:lineRule="atLeast"/>
        <w:jc w:val="both"/>
        <w:rPr>
          <w:rFonts w:ascii="Calibri" w:eastAsia="Calibri" w:hAnsi="Calibri" w:cs="Arial"/>
          <w:sz w:val="24"/>
          <w:szCs w:val="24"/>
        </w:rPr>
      </w:pPr>
      <w:r>
        <w:rPr>
          <w:rFonts w:ascii="Calibri" w:eastAsia="Calibri" w:hAnsi="Calibri" w:cs="Arial"/>
          <w:sz w:val="24"/>
          <w:szCs w:val="24"/>
        </w:rPr>
        <w:t xml:space="preserve">A quota de genéricos só aumenta se forem desbloqueados novos genéricos e não se </w:t>
      </w:r>
      <w:proofErr w:type="spellStart"/>
      <w:r>
        <w:rPr>
          <w:rFonts w:ascii="Calibri" w:eastAsia="Calibri" w:hAnsi="Calibri" w:cs="Arial"/>
          <w:sz w:val="24"/>
          <w:szCs w:val="24"/>
        </w:rPr>
        <w:t>se</w:t>
      </w:r>
      <w:proofErr w:type="spellEnd"/>
      <w:r>
        <w:rPr>
          <w:rFonts w:ascii="Calibri" w:eastAsia="Calibri" w:hAnsi="Calibri" w:cs="Arial"/>
          <w:sz w:val="24"/>
          <w:szCs w:val="24"/>
        </w:rPr>
        <w:t xml:space="preserve"> </w:t>
      </w:r>
      <w:proofErr w:type="spellStart"/>
      <w:r>
        <w:rPr>
          <w:rFonts w:ascii="Calibri" w:eastAsia="Calibri" w:hAnsi="Calibri" w:cs="Arial"/>
          <w:sz w:val="24"/>
          <w:szCs w:val="24"/>
        </w:rPr>
        <w:t>substituirem</w:t>
      </w:r>
      <w:proofErr w:type="spellEnd"/>
      <w:r>
        <w:rPr>
          <w:rFonts w:ascii="Calibri" w:eastAsia="Calibri" w:hAnsi="Calibri" w:cs="Arial"/>
          <w:sz w:val="24"/>
          <w:szCs w:val="24"/>
        </w:rPr>
        <w:t xml:space="preserve"> livremente nas farmácias, uns pelos outros, os já existentes.</w:t>
      </w:r>
    </w:p>
    <w:p w:rsidR="00E45BFC" w:rsidRDefault="003C3E9B" w:rsidP="00E45BFC">
      <w:pPr>
        <w:spacing w:before="240" w:after="0" w:line="320" w:lineRule="atLeast"/>
        <w:jc w:val="both"/>
        <w:rPr>
          <w:rFonts w:cs="Arial"/>
          <w:sz w:val="24"/>
          <w:szCs w:val="24"/>
        </w:rPr>
      </w:pPr>
      <w:r w:rsidRPr="003C3E9B">
        <w:rPr>
          <w:rFonts w:cs="Arial"/>
          <w:sz w:val="24"/>
          <w:szCs w:val="24"/>
        </w:rPr>
        <w:t>Uma legislação semelhante à que existe actualmente na Madeira, com necessidade de justificação quando se opta por uma marca de genérico e não se quer permitir a substituição por outra marca de genérico, cria artificialmen</w:t>
      </w:r>
      <w:r>
        <w:rPr>
          <w:rFonts w:cs="Arial"/>
          <w:sz w:val="24"/>
          <w:szCs w:val="24"/>
        </w:rPr>
        <w:t xml:space="preserve">te dois cenários de prescrição, </w:t>
      </w:r>
      <w:r w:rsidRPr="003C3E9B">
        <w:rPr>
          <w:rFonts w:cs="Arial"/>
          <w:sz w:val="24"/>
          <w:szCs w:val="24"/>
        </w:rPr>
        <w:t>uma vez que o</w:t>
      </w:r>
      <w:r>
        <w:rPr>
          <w:rFonts w:cs="Arial"/>
          <w:sz w:val="24"/>
          <w:szCs w:val="24"/>
        </w:rPr>
        <w:t xml:space="preserve"> </w:t>
      </w:r>
      <w:r w:rsidRPr="003C3E9B">
        <w:rPr>
          <w:rFonts w:cs="Arial"/>
          <w:sz w:val="24"/>
          <w:szCs w:val="24"/>
        </w:rPr>
        <w:t xml:space="preserve">médico só tem de </w:t>
      </w:r>
      <w:r w:rsidRPr="003C3E9B">
        <w:rPr>
          <w:rFonts w:cs="Arial"/>
          <w:bCs/>
          <w:sz w:val="24"/>
          <w:szCs w:val="24"/>
        </w:rPr>
        <w:t xml:space="preserve">justificar </w:t>
      </w:r>
      <w:r w:rsidRPr="003C3E9B">
        <w:rPr>
          <w:rFonts w:cs="Arial"/>
          <w:sz w:val="24"/>
          <w:szCs w:val="24"/>
        </w:rPr>
        <w:t>a sua opção por uma marca quando</w:t>
      </w:r>
      <w:r>
        <w:rPr>
          <w:rFonts w:cs="Arial"/>
          <w:sz w:val="24"/>
          <w:szCs w:val="24"/>
        </w:rPr>
        <w:t xml:space="preserve"> </w:t>
      </w:r>
      <w:r w:rsidRPr="003C3E9B">
        <w:rPr>
          <w:rFonts w:cs="Arial"/>
          <w:sz w:val="24"/>
          <w:szCs w:val="24"/>
        </w:rPr>
        <w:t xml:space="preserve">existe </w:t>
      </w:r>
      <w:r w:rsidRPr="003C3E9B">
        <w:rPr>
          <w:rFonts w:cs="Arial"/>
          <w:bCs/>
          <w:sz w:val="24"/>
          <w:szCs w:val="24"/>
        </w:rPr>
        <w:t>medicamento genérico.</w:t>
      </w:r>
      <w:r>
        <w:rPr>
          <w:rFonts w:cs="Arial"/>
          <w:sz w:val="24"/>
          <w:szCs w:val="24"/>
        </w:rPr>
        <w:t xml:space="preserve"> </w:t>
      </w:r>
      <w:r w:rsidRPr="003C3E9B">
        <w:rPr>
          <w:rFonts w:cs="Arial"/>
          <w:sz w:val="24"/>
          <w:szCs w:val="24"/>
        </w:rPr>
        <w:t xml:space="preserve">A </w:t>
      </w:r>
      <w:r w:rsidRPr="003C3E9B">
        <w:rPr>
          <w:rFonts w:cs="Arial"/>
          <w:bCs/>
          <w:sz w:val="24"/>
          <w:szCs w:val="24"/>
        </w:rPr>
        <w:t xml:space="preserve">criação artificial de dois </w:t>
      </w:r>
      <w:proofErr w:type="spellStart"/>
      <w:r w:rsidRPr="003C3E9B">
        <w:rPr>
          <w:rFonts w:cs="Arial"/>
          <w:bCs/>
          <w:sz w:val="24"/>
          <w:szCs w:val="24"/>
        </w:rPr>
        <w:t>sub-mercados</w:t>
      </w:r>
      <w:proofErr w:type="spellEnd"/>
      <w:r w:rsidRPr="003C3E9B">
        <w:rPr>
          <w:rFonts w:cs="Arial"/>
          <w:bCs/>
          <w:sz w:val="24"/>
          <w:szCs w:val="24"/>
        </w:rPr>
        <w:t xml:space="preserve"> </w:t>
      </w:r>
      <w:r w:rsidRPr="003C3E9B">
        <w:rPr>
          <w:rFonts w:cs="Arial"/>
          <w:sz w:val="24"/>
          <w:szCs w:val="24"/>
        </w:rPr>
        <w:t>(com e sem patente) e</w:t>
      </w:r>
      <w:r>
        <w:rPr>
          <w:rFonts w:cs="Arial"/>
          <w:sz w:val="24"/>
          <w:szCs w:val="24"/>
        </w:rPr>
        <w:t xml:space="preserve"> </w:t>
      </w:r>
      <w:r w:rsidRPr="003C3E9B">
        <w:rPr>
          <w:rFonts w:cs="Arial"/>
          <w:sz w:val="24"/>
          <w:szCs w:val="24"/>
        </w:rPr>
        <w:t xml:space="preserve">de </w:t>
      </w:r>
      <w:r w:rsidRPr="003C3E9B">
        <w:rPr>
          <w:rFonts w:cs="Arial"/>
          <w:bCs/>
          <w:sz w:val="24"/>
          <w:szCs w:val="24"/>
        </w:rPr>
        <w:t>duas formas de prescrever</w:t>
      </w:r>
      <w:r>
        <w:rPr>
          <w:rFonts w:cs="Arial"/>
          <w:sz w:val="24"/>
          <w:szCs w:val="24"/>
        </w:rPr>
        <w:t xml:space="preserve">, </w:t>
      </w:r>
      <w:r w:rsidR="00CF600B">
        <w:rPr>
          <w:rFonts w:cs="Arial"/>
          <w:sz w:val="24"/>
          <w:szCs w:val="24"/>
        </w:rPr>
        <w:t>penaliza</w:t>
      </w:r>
      <w:r w:rsidRPr="003C3E9B">
        <w:rPr>
          <w:rFonts w:cs="Arial"/>
          <w:sz w:val="24"/>
          <w:szCs w:val="24"/>
        </w:rPr>
        <w:t xml:space="preserve"> </w:t>
      </w:r>
      <w:r>
        <w:rPr>
          <w:rFonts w:cs="Arial"/>
          <w:sz w:val="24"/>
          <w:szCs w:val="24"/>
        </w:rPr>
        <w:t>a prescrição de medicamentos genéricos e</w:t>
      </w:r>
      <w:r w:rsidRPr="003C3E9B">
        <w:rPr>
          <w:rFonts w:cs="Arial"/>
          <w:sz w:val="24"/>
          <w:szCs w:val="24"/>
        </w:rPr>
        <w:t xml:space="preserve"> </w:t>
      </w:r>
      <w:r>
        <w:rPr>
          <w:rFonts w:cs="Arial"/>
          <w:sz w:val="24"/>
          <w:szCs w:val="24"/>
        </w:rPr>
        <w:t>induz</w:t>
      </w:r>
      <w:r w:rsidRPr="003C3E9B">
        <w:rPr>
          <w:rFonts w:cs="Arial"/>
          <w:sz w:val="24"/>
          <w:szCs w:val="24"/>
        </w:rPr>
        <w:t xml:space="preserve"> ao </w:t>
      </w:r>
      <w:r w:rsidRPr="003C3E9B">
        <w:rPr>
          <w:rFonts w:cs="Arial"/>
          <w:bCs/>
          <w:sz w:val="24"/>
          <w:szCs w:val="24"/>
        </w:rPr>
        <w:t>desvio da prescrição para</w:t>
      </w:r>
      <w:r>
        <w:rPr>
          <w:rFonts w:cs="Arial"/>
          <w:sz w:val="24"/>
          <w:szCs w:val="24"/>
        </w:rPr>
        <w:t xml:space="preserve"> </w:t>
      </w:r>
      <w:r w:rsidRPr="003C3E9B">
        <w:rPr>
          <w:rFonts w:cs="Arial"/>
          <w:bCs/>
          <w:sz w:val="24"/>
          <w:szCs w:val="24"/>
        </w:rPr>
        <w:t>medicamentos protegidos por patente</w:t>
      </w:r>
      <w:r w:rsidRPr="003C3E9B">
        <w:rPr>
          <w:rFonts w:cs="Arial"/>
          <w:sz w:val="24"/>
          <w:szCs w:val="24"/>
        </w:rPr>
        <w:t>, mais caros, e</w:t>
      </w:r>
      <w:r>
        <w:rPr>
          <w:rFonts w:cs="Arial"/>
          <w:sz w:val="24"/>
          <w:szCs w:val="24"/>
        </w:rPr>
        <w:t xml:space="preserve">, </w:t>
      </w:r>
      <w:r w:rsidRPr="003C3E9B">
        <w:rPr>
          <w:rFonts w:cs="Arial"/>
          <w:sz w:val="24"/>
          <w:szCs w:val="24"/>
        </w:rPr>
        <w:t>consequentemente</w:t>
      </w:r>
      <w:r>
        <w:rPr>
          <w:rFonts w:cs="Arial"/>
          <w:sz w:val="24"/>
          <w:szCs w:val="24"/>
        </w:rPr>
        <w:t>,</w:t>
      </w:r>
      <w:r w:rsidRPr="003C3E9B">
        <w:rPr>
          <w:rFonts w:cs="Arial"/>
          <w:sz w:val="24"/>
          <w:szCs w:val="24"/>
        </w:rPr>
        <w:t xml:space="preserve"> a um aumento da despesa.</w:t>
      </w:r>
    </w:p>
    <w:p w:rsidR="00E45BFC" w:rsidRPr="00E45BFC" w:rsidRDefault="00E45BFC" w:rsidP="00E45BFC">
      <w:pPr>
        <w:spacing w:before="240" w:after="0" w:line="320" w:lineRule="atLeast"/>
        <w:jc w:val="both"/>
        <w:rPr>
          <w:rFonts w:cs="Arial"/>
          <w:sz w:val="24"/>
          <w:szCs w:val="24"/>
        </w:rPr>
      </w:pPr>
      <w:r w:rsidRPr="00E45BFC">
        <w:rPr>
          <w:rFonts w:cs="Arial"/>
          <w:sz w:val="24"/>
          <w:szCs w:val="24"/>
        </w:rPr>
        <w:t xml:space="preserve">A quota de mercado de </w:t>
      </w:r>
      <w:proofErr w:type="spellStart"/>
      <w:r w:rsidRPr="00E45BFC">
        <w:rPr>
          <w:rFonts w:cs="Arial"/>
          <w:sz w:val="24"/>
          <w:szCs w:val="24"/>
        </w:rPr>
        <w:t>MGs</w:t>
      </w:r>
      <w:proofErr w:type="spellEnd"/>
      <w:r w:rsidRPr="00E45BFC">
        <w:rPr>
          <w:rFonts w:cs="Arial"/>
          <w:sz w:val="24"/>
          <w:szCs w:val="24"/>
        </w:rPr>
        <w:t xml:space="preserve"> da Madeira, em unidades, era a mais baixa do </w:t>
      </w:r>
      <w:r>
        <w:rPr>
          <w:rFonts w:cs="Arial"/>
          <w:sz w:val="24"/>
          <w:szCs w:val="24"/>
        </w:rPr>
        <w:t>país e continua a sê-lo depois de prescrição obrigatória por DCI</w:t>
      </w:r>
      <w:r w:rsidRPr="00E45BFC">
        <w:rPr>
          <w:rFonts w:cs="Arial"/>
          <w:sz w:val="24"/>
          <w:szCs w:val="24"/>
        </w:rPr>
        <w:t xml:space="preserve"> ter sido implementada</w:t>
      </w:r>
      <w:r>
        <w:rPr>
          <w:rFonts w:cs="Arial"/>
          <w:sz w:val="24"/>
          <w:szCs w:val="24"/>
        </w:rPr>
        <w:t xml:space="preserve">, sem um crescimento </w:t>
      </w:r>
      <w:r w:rsidR="00947854">
        <w:rPr>
          <w:rFonts w:cs="Arial"/>
          <w:sz w:val="24"/>
          <w:szCs w:val="24"/>
        </w:rPr>
        <w:t>absoluto</w:t>
      </w:r>
      <w:r>
        <w:rPr>
          <w:rFonts w:cs="Arial"/>
          <w:sz w:val="24"/>
          <w:szCs w:val="24"/>
        </w:rPr>
        <w:t xml:space="preserve"> acima do crescimento nacional.</w:t>
      </w:r>
    </w:p>
    <w:p w:rsidR="004D1B5B" w:rsidRPr="00184C6A" w:rsidRDefault="00184C6A" w:rsidP="000D4E29">
      <w:pPr>
        <w:spacing w:before="240" w:after="0" w:line="320" w:lineRule="atLeast"/>
        <w:jc w:val="both"/>
        <w:rPr>
          <w:rFonts w:cs="Arial"/>
          <w:sz w:val="24"/>
          <w:szCs w:val="24"/>
        </w:rPr>
      </w:pPr>
      <w:r>
        <w:rPr>
          <w:rFonts w:cs="Arial"/>
          <w:sz w:val="24"/>
          <w:szCs w:val="24"/>
        </w:rPr>
        <w:t xml:space="preserve">Finalmente, a Ordem dos Médicos sublinha que a </w:t>
      </w:r>
      <w:r>
        <w:rPr>
          <w:sz w:val="24"/>
          <w:szCs w:val="24"/>
        </w:rPr>
        <w:t>Troika não recomenda a alteração da legislação de prescrição por DCI, precisamente porque Portugal já tem a legislação que necessita e que é uma das mais avançadas da Europa.</w:t>
      </w:r>
    </w:p>
    <w:p w:rsidR="00947854" w:rsidRDefault="00947854" w:rsidP="00947854">
      <w:pPr>
        <w:spacing w:before="240" w:after="0" w:line="320" w:lineRule="atLeast"/>
        <w:jc w:val="both"/>
        <w:rPr>
          <w:rFonts w:ascii="Calibri" w:eastAsia="Calibri" w:hAnsi="Calibri" w:cs="Times New Roman"/>
          <w:sz w:val="24"/>
          <w:szCs w:val="24"/>
        </w:rPr>
      </w:pPr>
      <w:r>
        <w:rPr>
          <w:rFonts w:ascii="Calibri" w:eastAsia="Calibri" w:hAnsi="Calibri" w:cs="Times New Roman"/>
          <w:sz w:val="24"/>
          <w:szCs w:val="24"/>
        </w:rPr>
        <w:t>É paradigmático que não o faça quando o tema dos genéricos é abordado com algum detalhe. Cumpra-se o objectivo da remoção de barreiras à entrada, que a Ordem dos Médicos estará disponível para incentivar a sua prescrição, como sempre o fez.</w:t>
      </w:r>
    </w:p>
    <w:p w:rsidR="00317914" w:rsidRPr="000D4E29" w:rsidRDefault="00184C6A" w:rsidP="000D4E29">
      <w:pPr>
        <w:spacing w:before="240" w:after="0" w:line="320" w:lineRule="atLeast"/>
        <w:jc w:val="both"/>
        <w:rPr>
          <w:sz w:val="24"/>
          <w:szCs w:val="24"/>
        </w:rPr>
      </w:pPr>
      <w:r>
        <w:rPr>
          <w:sz w:val="24"/>
          <w:szCs w:val="24"/>
        </w:rPr>
        <w:lastRenderedPageBreak/>
        <w:t xml:space="preserve">Por todas as razões enunciadas, é uma questão </w:t>
      </w:r>
      <w:r w:rsidR="004528CF">
        <w:rPr>
          <w:sz w:val="24"/>
          <w:szCs w:val="24"/>
        </w:rPr>
        <w:t xml:space="preserve">absolutamente </w:t>
      </w:r>
      <w:r>
        <w:rPr>
          <w:sz w:val="24"/>
          <w:szCs w:val="24"/>
        </w:rPr>
        <w:t>nuclear para a Ordem dos Médicos e para a defesa da Qualidade da Medicina portuguesa, dos Doentes e dos medicamentos genéricos, que a legislação actualmente em vigor sobre prescrição por DCI não sofra qualquer alteração.</w:t>
      </w:r>
      <w:r w:rsidR="004528CF">
        <w:rPr>
          <w:sz w:val="24"/>
          <w:szCs w:val="24"/>
        </w:rPr>
        <w:t xml:space="preserve"> Alterações em sentido que possam prejudicar os Doentes contarão </w:t>
      </w:r>
      <w:r w:rsidR="004368AB">
        <w:rPr>
          <w:sz w:val="24"/>
          <w:szCs w:val="24"/>
        </w:rPr>
        <w:t xml:space="preserve">sempre </w:t>
      </w:r>
      <w:r w:rsidR="004528CF">
        <w:rPr>
          <w:sz w:val="24"/>
          <w:szCs w:val="24"/>
        </w:rPr>
        <w:t>com uma fortíssima oposição por parte da Ordem dos Médicos.</w:t>
      </w:r>
    </w:p>
    <w:p w:rsidR="00092FB1" w:rsidRDefault="009E7A7A" w:rsidP="000D4E29">
      <w:pPr>
        <w:spacing w:before="240" w:after="0" w:line="320" w:lineRule="atLeast"/>
        <w:jc w:val="both"/>
        <w:rPr>
          <w:sz w:val="24"/>
          <w:szCs w:val="24"/>
        </w:rPr>
      </w:pPr>
      <w:r>
        <w:rPr>
          <w:sz w:val="24"/>
          <w:szCs w:val="24"/>
        </w:rPr>
        <w:t>Dentro do princípio da defesa dos Doentes e da Qualidade dos Cuidados Médicos, reiteramos a total disponibilidade da Ordem dos Médicos para dialogar sobre as matérias analisada</w:t>
      </w:r>
      <w:r w:rsidR="00363218">
        <w:rPr>
          <w:sz w:val="24"/>
          <w:szCs w:val="24"/>
        </w:rPr>
        <w:t>s e discutidas neste documento e para colaborar construtivamente no estímulo ao aumento da prescrição de genéricos</w:t>
      </w:r>
      <w:r w:rsidR="004528CF">
        <w:rPr>
          <w:sz w:val="24"/>
          <w:szCs w:val="24"/>
        </w:rPr>
        <w:t xml:space="preserve"> e à redução da despesa global com medicamentos sem colocar em causa a terapêutica adequada dos Doentes</w:t>
      </w:r>
      <w:r w:rsidR="00363218">
        <w:rPr>
          <w:sz w:val="24"/>
          <w:szCs w:val="24"/>
        </w:rPr>
        <w:t>.</w:t>
      </w:r>
    </w:p>
    <w:p w:rsidR="004368AB" w:rsidRDefault="004368AB" w:rsidP="000D4E29">
      <w:pPr>
        <w:spacing w:before="240" w:after="0" w:line="320" w:lineRule="atLeast"/>
        <w:jc w:val="both"/>
        <w:rPr>
          <w:sz w:val="24"/>
          <w:szCs w:val="24"/>
        </w:rPr>
      </w:pPr>
      <w:r>
        <w:rPr>
          <w:sz w:val="24"/>
          <w:szCs w:val="24"/>
        </w:rPr>
        <w:t>Com os melhores cumprimentos,</w:t>
      </w:r>
    </w:p>
    <w:p w:rsidR="00CA5149" w:rsidRDefault="00CA5149" w:rsidP="000D4E29">
      <w:pPr>
        <w:spacing w:before="240" w:after="0" w:line="320" w:lineRule="atLeast"/>
        <w:jc w:val="both"/>
        <w:rPr>
          <w:sz w:val="24"/>
          <w:szCs w:val="24"/>
        </w:rPr>
      </w:pPr>
    </w:p>
    <w:p w:rsidR="00CA5149" w:rsidRPr="000D4E29" w:rsidRDefault="006045FA" w:rsidP="000D4E29">
      <w:pPr>
        <w:spacing w:before="240" w:after="0" w:line="320" w:lineRule="atLeast"/>
        <w:jc w:val="both"/>
        <w:rPr>
          <w:sz w:val="24"/>
          <w:szCs w:val="24"/>
        </w:rPr>
      </w:pPr>
      <w:r>
        <w:rPr>
          <w:sz w:val="24"/>
          <w:szCs w:val="24"/>
        </w:rPr>
        <w:t xml:space="preserve">CNE da OM, </w:t>
      </w:r>
      <w:r w:rsidR="00CA5149">
        <w:rPr>
          <w:sz w:val="24"/>
          <w:szCs w:val="24"/>
        </w:rPr>
        <w:t>Lisboa, Agosto de 2011</w:t>
      </w:r>
    </w:p>
    <w:sectPr w:rsidR="00CA5149" w:rsidRPr="000D4E29" w:rsidSect="000D4E29">
      <w:footerReference w:type="default" r:id="rId7"/>
      <w:pgSz w:w="11906" w:h="16838"/>
      <w:pgMar w:top="1361" w:right="1361"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F4" w:rsidRDefault="00ED40F4" w:rsidP="000D4E29">
      <w:pPr>
        <w:spacing w:after="0" w:line="240" w:lineRule="auto"/>
      </w:pPr>
      <w:r>
        <w:separator/>
      </w:r>
    </w:p>
  </w:endnote>
  <w:endnote w:type="continuationSeparator" w:id="0">
    <w:p w:rsidR="00ED40F4" w:rsidRDefault="00ED40F4" w:rsidP="000D4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1">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altName w:val="Times New Roman"/>
    <w:charset w:val="00"/>
    <w:family w:val="auto"/>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ongressSans">
    <w:panose1 w:val="00000000000000000000"/>
    <w:charset w:val="00"/>
    <w:family w:val="auto"/>
    <w:notTrueType/>
    <w:pitch w:val="default"/>
    <w:sig w:usb0="00000003" w:usb1="00000000" w:usb2="00000000" w:usb3="00000000" w:csb0="00000001" w:csb1="00000000"/>
  </w:font>
  <w:font w:name="CongressSans-ExtraBold">
    <w:panose1 w:val="00000000000000000000"/>
    <w:charset w:val="00"/>
    <w:family w:val="auto"/>
    <w:notTrueType/>
    <w:pitch w:val="default"/>
    <w:sig w:usb0="00000003" w:usb1="00000000" w:usb2="00000000" w:usb3="00000000" w:csb0="00000001" w:csb1="00000000"/>
  </w:font>
  <w:font w:name="CongressSans-Light">
    <w:panose1 w:val="00000000000000000000"/>
    <w:charset w:val="00"/>
    <w:family w:val="auto"/>
    <w:notTrueType/>
    <w:pitch w:val="default"/>
    <w:sig w:usb0="00000003" w:usb1="00000000" w:usb2="00000000" w:usb3="00000000" w:csb0="00000001" w:csb1="00000000"/>
  </w:font>
  <w:font w:name="CongressSans-Bold">
    <w:panose1 w:val="00000000000000000000"/>
    <w:charset w:val="00"/>
    <w:family w:val="auto"/>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665731"/>
      <w:docPartObj>
        <w:docPartGallery w:val="Page Numbers (Bottom of Page)"/>
        <w:docPartUnique/>
      </w:docPartObj>
    </w:sdtPr>
    <w:sdtContent>
      <w:p w:rsidR="005479E5" w:rsidRDefault="00A20396">
        <w:pPr>
          <w:pStyle w:val="Rodap"/>
          <w:jc w:val="right"/>
        </w:pPr>
        <w:fldSimple w:instr=" PAGE   \* MERGEFORMAT ">
          <w:r w:rsidR="00A75CDE">
            <w:rPr>
              <w:noProof/>
            </w:rPr>
            <w:t>1</w:t>
          </w:r>
        </w:fldSimple>
      </w:p>
    </w:sdtContent>
  </w:sdt>
  <w:p w:rsidR="005479E5" w:rsidRDefault="005479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F4" w:rsidRDefault="00ED40F4" w:rsidP="000D4E29">
      <w:pPr>
        <w:spacing w:after="0" w:line="240" w:lineRule="auto"/>
      </w:pPr>
      <w:r>
        <w:separator/>
      </w:r>
    </w:p>
  </w:footnote>
  <w:footnote w:type="continuationSeparator" w:id="0">
    <w:p w:rsidR="00ED40F4" w:rsidRDefault="00ED40F4" w:rsidP="000D4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E48"/>
    <w:multiLevelType w:val="hybridMultilevel"/>
    <w:tmpl w:val="E1A4144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CC124EE"/>
    <w:multiLevelType w:val="hybridMultilevel"/>
    <w:tmpl w:val="0D826FFE"/>
    <w:lvl w:ilvl="0" w:tplc="C9E8464E">
      <w:start w:val="1"/>
      <w:numFmt w:val="bullet"/>
      <w:lvlText w:val="•"/>
      <w:lvlJc w:val="left"/>
      <w:pPr>
        <w:tabs>
          <w:tab w:val="num" w:pos="720"/>
        </w:tabs>
        <w:ind w:left="720" w:hanging="360"/>
      </w:pPr>
      <w:rPr>
        <w:rFonts w:ascii="Times New Roman" w:hAnsi="Times New Roman" w:hint="default"/>
      </w:rPr>
    </w:lvl>
    <w:lvl w:ilvl="1" w:tplc="7B862B80" w:tentative="1">
      <w:start w:val="1"/>
      <w:numFmt w:val="bullet"/>
      <w:lvlText w:val="•"/>
      <w:lvlJc w:val="left"/>
      <w:pPr>
        <w:tabs>
          <w:tab w:val="num" w:pos="1440"/>
        </w:tabs>
        <w:ind w:left="1440" w:hanging="360"/>
      </w:pPr>
      <w:rPr>
        <w:rFonts w:ascii="Times New Roman" w:hAnsi="Times New Roman" w:hint="default"/>
      </w:rPr>
    </w:lvl>
    <w:lvl w:ilvl="2" w:tplc="2742847C" w:tentative="1">
      <w:start w:val="1"/>
      <w:numFmt w:val="bullet"/>
      <w:lvlText w:val="•"/>
      <w:lvlJc w:val="left"/>
      <w:pPr>
        <w:tabs>
          <w:tab w:val="num" w:pos="2160"/>
        </w:tabs>
        <w:ind w:left="2160" w:hanging="360"/>
      </w:pPr>
      <w:rPr>
        <w:rFonts w:ascii="Times New Roman" w:hAnsi="Times New Roman" w:hint="default"/>
      </w:rPr>
    </w:lvl>
    <w:lvl w:ilvl="3" w:tplc="EE9EC25C" w:tentative="1">
      <w:start w:val="1"/>
      <w:numFmt w:val="bullet"/>
      <w:lvlText w:val="•"/>
      <w:lvlJc w:val="left"/>
      <w:pPr>
        <w:tabs>
          <w:tab w:val="num" w:pos="2880"/>
        </w:tabs>
        <w:ind w:left="2880" w:hanging="360"/>
      </w:pPr>
      <w:rPr>
        <w:rFonts w:ascii="Times New Roman" w:hAnsi="Times New Roman" w:hint="default"/>
      </w:rPr>
    </w:lvl>
    <w:lvl w:ilvl="4" w:tplc="FE58FDDA" w:tentative="1">
      <w:start w:val="1"/>
      <w:numFmt w:val="bullet"/>
      <w:lvlText w:val="•"/>
      <w:lvlJc w:val="left"/>
      <w:pPr>
        <w:tabs>
          <w:tab w:val="num" w:pos="3600"/>
        </w:tabs>
        <w:ind w:left="3600" w:hanging="360"/>
      </w:pPr>
      <w:rPr>
        <w:rFonts w:ascii="Times New Roman" w:hAnsi="Times New Roman" w:hint="default"/>
      </w:rPr>
    </w:lvl>
    <w:lvl w:ilvl="5" w:tplc="33EAEC40" w:tentative="1">
      <w:start w:val="1"/>
      <w:numFmt w:val="bullet"/>
      <w:lvlText w:val="•"/>
      <w:lvlJc w:val="left"/>
      <w:pPr>
        <w:tabs>
          <w:tab w:val="num" w:pos="4320"/>
        </w:tabs>
        <w:ind w:left="4320" w:hanging="360"/>
      </w:pPr>
      <w:rPr>
        <w:rFonts w:ascii="Times New Roman" w:hAnsi="Times New Roman" w:hint="default"/>
      </w:rPr>
    </w:lvl>
    <w:lvl w:ilvl="6" w:tplc="E5BE37EC" w:tentative="1">
      <w:start w:val="1"/>
      <w:numFmt w:val="bullet"/>
      <w:lvlText w:val="•"/>
      <w:lvlJc w:val="left"/>
      <w:pPr>
        <w:tabs>
          <w:tab w:val="num" w:pos="5040"/>
        </w:tabs>
        <w:ind w:left="5040" w:hanging="360"/>
      </w:pPr>
      <w:rPr>
        <w:rFonts w:ascii="Times New Roman" w:hAnsi="Times New Roman" w:hint="default"/>
      </w:rPr>
    </w:lvl>
    <w:lvl w:ilvl="7" w:tplc="E6803814" w:tentative="1">
      <w:start w:val="1"/>
      <w:numFmt w:val="bullet"/>
      <w:lvlText w:val="•"/>
      <w:lvlJc w:val="left"/>
      <w:pPr>
        <w:tabs>
          <w:tab w:val="num" w:pos="5760"/>
        </w:tabs>
        <w:ind w:left="5760" w:hanging="360"/>
      </w:pPr>
      <w:rPr>
        <w:rFonts w:ascii="Times New Roman" w:hAnsi="Times New Roman" w:hint="default"/>
      </w:rPr>
    </w:lvl>
    <w:lvl w:ilvl="8" w:tplc="E61433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7ECE"/>
    <w:rsid w:val="0000299C"/>
    <w:rsid w:val="000051C3"/>
    <w:rsid w:val="000260C9"/>
    <w:rsid w:val="00035880"/>
    <w:rsid w:val="00040A1F"/>
    <w:rsid w:val="00071C55"/>
    <w:rsid w:val="00083698"/>
    <w:rsid w:val="00084D0C"/>
    <w:rsid w:val="0008787E"/>
    <w:rsid w:val="00092FB1"/>
    <w:rsid w:val="000A3B72"/>
    <w:rsid w:val="000B3340"/>
    <w:rsid w:val="000C7810"/>
    <w:rsid w:val="000D2ADF"/>
    <w:rsid w:val="000D4E29"/>
    <w:rsid w:val="00113B05"/>
    <w:rsid w:val="001304BA"/>
    <w:rsid w:val="001448FA"/>
    <w:rsid w:val="00177F19"/>
    <w:rsid w:val="00184C6A"/>
    <w:rsid w:val="0019494C"/>
    <w:rsid w:val="001A6192"/>
    <w:rsid w:val="001C24B1"/>
    <w:rsid w:val="001C2ED8"/>
    <w:rsid w:val="001E179C"/>
    <w:rsid w:val="001F6D50"/>
    <w:rsid w:val="00200CCF"/>
    <w:rsid w:val="00212266"/>
    <w:rsid w:val="002236C9"/>
    <w:rsid w:val="0029495C"/>
    <w:rsid w:val="002B19A6"/>
    <w:rsid w:val="002E17FB"/>
    <w:rsid w:val="00307A16"/>
    <w:rsid w:val="00310C22"/>
    <w:rsid w:val="003173F1"/>
    <w:rsid w:val="00317914"/>
    <w:rsid w:val="003303DD"/>
    <w:rsid w:val="00335E22"/>
    <w:rsid w:val="00363218"/>
    <w:rsid w:val="0038074C"/>
    <w:rsid w:val="00387A5C"/>
    <w:rsid w:val="003B561D"/>
    <w:rsid w:val="003C3E9B"/>
    <w:rsid w:val="003F7828"/>
    <w:rsid w:val="004368AB"/>
    <w:rsid w:val="004517D0"/>
    <w:rsid w:val="004528CF"/>
    <w:rsid w:val="00471AA1"/>
    <w:rsid w:val="004855BF"/>
    <w:rsid w:val="00493423"/>
    <w:rsid w:val="004C4F2A"/>
    <w:rsid w:val="004C54F4"/>
    <w:rsid w:val="004D026D"/>
    <w:rsid w:val="004D1B5B"/>
    <w:rsid w:val="004D7C3D"/>
    <w:rsid w:val="004E1DC1"/>
    <w:rsid w:val="00517EEF"/>
    <w:rsid w:val="005479E5"/>
    <w:rsid w:val="00567AF2"/>
    <w:rsid w:val="005B4D13"/>
    <w:rsid w:val="005C24B3"/>
    <w:rsid w:val="005D51F3"/>
    <w:rsid w:val="005D5E00"/>
    <w:rsid w:val="005E66BB"/>
    <w:rsid w:val="006045FA"/>
    <w:rsid w:val="006064CF"/>
    <w:rsid w:val="0061196A"/>
    <w:rsid w:val="00614EA2"/>
    <w:rsid w:val="00654EEF"/>
    <w:rsid w:val="00655D0E"/>
    <w:rsid w:val="00686361"/>
    <w:rsid w:val="006874AD"/>
    <w:rsid w:val="006E430E"/>
    <w:rsid w:val="006F27E6"/>
    <w:rsid w:val="007045E9"/>
    <w:rsid w:val="0072207B"/>
    <w:rsid w:val="007375D5"/>
    <w:rsid w:val="00745059"/>
    <w:rsid w:val="007B48DE"/>
    <w:rsid w:val="007B7B59"/>
    <w:rsid w:val="00801EB8"/>
    <w:rsid w:val="00827997"/>
    <w:rsid w:val="0084355E"/>
    <w:rsid w:val="0087333E"/>
    <w:rsid w:val="00923890"/>
    <w:rsid w:val="00926FB3"/>
    <w:rsid w:val="00927671"/>
    <w:rsid w:val="009277A4"/>
    <w:rsid w:val="00947854"/>
    <w:rsid w:val="00996FC6"/>
    <w:rsid w:val="009A26F0"/>
    <w:rsid w:val="009A5BFE"/>
    <w:rsid w:val="009B1DC0"/>
    <w:rsid w:val="009B6A52"/>
    <w:rsid w:val="009D12F5"/>
    <w:rsid w:val="009D5296"/>
    <w:rsid w:val="009D735F"/>
    <w:rsid w:val="009E69A2"/>
    <w:rsid w:val="009E7A7A"/>
    <w:rsid w:val="00A20396"/>
    <w:rsid w:val="00A224A8"/>
    <w:rsid w:val="00A51A63"/>
    <w:rsid w:val="00A75CDE"/>
    <w:rsid w:val="00AA417A"/>
    <w:rsid w:val="00AB699A"/>
    <w:rsid w:val="00AC0142"/>
    <w:rsid w:val="00AC1F4F"/>
    <w:rsid w:val="00B022AC"/>
    <w:rsid w:val="00B154D4"/>
    <w:rsid w:val="00B64DAE"/>
    <w:rsid w:val="00B72CCA"/>
    <w:rsid w:val="00B83164"/>
    <w:rsid w:val="00BB289C"/>
    <w:rsid w:val="00BE3DAC"/>
    <w:rsid w:val="00BE7A3A"/>
    <w:rsid w:val="00BF629F"/>
    <w:rsid w:val="00C16B61"/>
    <w:rsid w:val="00C3708A"/>
    <w:rsid w:val="00C41445"/>
    <w:rsid w:val="00C57738"/>
    <w:rsid w:val="00C67ECE"/>
    <w:rsid w:val="00CA2BD6"/>
    <w:rsid w:val="00CA5149"/>
    <w:rsid w:val="00CF4E10"/>
    <w:rsid w:val="00CF600B"/>
    <w:rsid w:val="00D26DA6"/>
    <w:rsid w:val="00D5596E"/>
    <w:rsid w:val="00D6443D"/>
    <w:rsid w:val="00DB717E"/>
    <w:rsid w:val="00DC434E"/>
    <w:rsid w:val="00DE39AE"/>
    <w:rsid w:val="00E10C67"/>
    <w:rsid w:val="00E23363"/>
    <w:rsid w:val="00E33154"/>
    <w:rsid w:val="00E364B8"/>
    <w:rsid w:val="00E43C67"/>
    <w:rsid w:val="00E45BFC"/>
    <w:rsid w:val="00E64190"/>
    <w:rsid w:val="00E66731"/>
    <w:rsid w:val="00EB23DC"/>
    <w:rsid w:val="00EC2CD6"/>
    <w:rsid w:val="00EC432F"/>
    <w:rsid w:val="00EC4A4F"/>
    <w:rsid w:val="00ED40F4"/>
    <w:rsid w:val="00ED4FE7"/>
    <w:rsid w:val="00EE6D9D"/>
    <w:rsid w:val="00EF4575"/>
    <w:rsid w:val="00F10EDB"/>
    <w:rsid w:val="00F253FF"/>
    <w:rsid w:val="00F35865"/>
    <w:rsid w:val="00F564E3"/>
    <w:rsid w:val="00FD271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5865"/>
    <w:pPr>
      <w:ind w:left="720"/>
      <w:contextualSpacing/>
    </w:pPr>
  </w:style>
  <w:style w:type="character" w:styleId="Hiperligao">
    <w:name w:val="Hyperlink"/>
    <w:basedOn w:val="Tipodeletrapredefinidodopargrafo"/>
    <w:uiPriority w:val="99"/>
    <w:unhideWhenUsed/>
    <w:rsid w:val="00113B05"/>
    <w:rPr>
      <w:color w:val="0000FF" w:themeColor="hyperlink"/>
      <w:u w:val="single"/>
    </w:rPr>
  </w:style>
  <w:style w:type="paragraph" w:styleId="Cabealho">
    <w:name w:val="header"/>
    <w:basedOn w:val="Normal"/>
    <w:link w:val="CabealhoCarcter"/>
    <w:uiPriority w:val="99"/>
    <w:semiHidden/>
    <w:unhideWhenUsed/>
    <w:rsid w:val="000D4E2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0D4E29"/>
  </w:style>
  <w:style w:type="paragraph" w:styleId="Rodap">
    <w:name w:val="footer"/>
    <w:basedOn w:val="Normal"/>
    <w:link w:val="RodapCarcter"/>
    <w:uiPriority w:val="99"/>
    <w:unhideWhenUsed/>
    <w:rsid w:val="000D4E2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D4E29"/>
  </w:style>
</w:styles>
</file>

<file path=word/webSettings.xml><?xml version="1.0" encoding="utf-8"?>
<w:webSettings xmlns:r="http://schemas.openxmlformats.org/officeDocument/2006/relationships" xmlns:w="http://schemas.openxmlformats.org/wordprocessingml/2006/main">
  <w:divs>
    <w:div w:id="1262756645">
      <w:bodyDiv w:val="1"/>
      <w:marLeft w:val="0"/>
      <w:marRight w:val="0"/>
      <w:marTop w:val="0"/>
      <w:marBottom w:val="0"/>
      <w:divBdr>
        <w:top w:val="none" w:sz="0" w:space="0" w:color="auto"/>
        <w:left w:val="none" w:sz="0" w:space="0" w:color="auto"/>
        <w:bottom w:val="none" w:sz="0" w:space="0" w:color="auto"/>
        <w:right w:val="none" w:sz="0" w:space="0" w:color="auto"/>
      </w:divBdr>
      <w:divsChild>
        <w:div w:id="275522101">
          <w:marLeft w:val="547"/>
          <w:marRight w:val="0"/>
          <w:marTop w:val="96"/>
          <w:marBottom w:val="48"/>
          <w:divBdr>
            <w:top w:val="none" w:sz="0" w:space="0" w:color="auto"/>
            <w:left w:val="none" w:sz="0" w:space="0" w:color="auto"/>
            <w:bottom w:val="none" w:sz="0" w:space="0" w:color="auto"/>
            <w:right w:val="none" w:sz="0" w:space="0" w:color="auto"/>
          </w:divBdr>
        </w:div>
      </w:divsChild>
    </w:div>
    <w:div w:id="18855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1550</TotalTime>
  <Pages>14</Pages>
  <Words>6174</Words>
  <Characters>33342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José M Silva</dc:creator>
  <cp:lastModifiedBy>Prof Dr José M Silva</cp:lastModifiedBy>
  <cp:revision>72</cp:revision>
  <dcterms:created xsi:type="dcterms:W3CDTF">2011-06-22T14:21:00Z</dcterms:created>
  <dcterms:modified xsi:type="dcterms:W3CDTF">2011-09-25T18:04:00Z</dcterms:modified>
</cp:coreProperties>
</file>