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241DC1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134F39" w:rsidRPr="00134F39" w:rsidRDefault="00134F39" w:rsidP="00241DC1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134F39">
        <w:rPr>
          <w:rFonts w:ascii="Tahoma" w:hAnsi="Tahoma" w:cs="Tahoma"/>
          <w:sz w:val="22"/>
          <w:szCs w:val="22"/>
          <w:lang w:val="pt-PT"/>
        </w:rPr>
        <w:t>Ana Cristina Ferreira Raimundo</w:t>
      </w:r>
    </w:p>
    <w:p w:rsidR="00134F39" w:rsidRPr="00134F39" w:rsidRDefault="00134F39" w:rsidP="00241DC1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134F39">
        <w:rPr>
          <w:rFonts w:ascii="Tahoma" w:hAnsi="Tahoma" w:cs="Tahoma"/>
          <w:sz w:val="22"/>
          <w:szCs w:val="22"/>
          <w:lang w:val="pt-PT"/>
        </w:rPr>
        <w:t>Ana Filipa Horta de Oliveira Cardoso Pais</w:t>
      </w:r>
    </w:p>
    <w:p w:rsidR="00134F39" w:rsidRPr="00134F39" w:rsidRDefault="00134F39" w:rsidP="00241DC1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134F39">
        <w:rPr>
          <w:rFonts w:ascii="Tahoma" w:hAnsi="Tahoma" w:cs="Tahoma"/>
          <w:sz w:val="22"/>
          <w:szCs w:val="22"/>
          <w:lang w:val="pt-PT"/>
        </w:rPr>
        <w:t>Emanuel José Gouveia</w:t>
      </w:r>
    </w:p>
    <w:p w:rsidR="00134F39" w:rsidRPr="00134F39" w:rsidRDefault="00134F39" w:rsidP="00241DC1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134F39">
        <w:rPr>
          <w:rFonts w:ascii="Tahoma" w:hAnsi="Tahoma" w:cs="Tahoma"/>
          <w:sz w:val="22"/>
          <w:szCs w:val="22"/>
          <w:lang w:val="pt-PT"/>
        </w:rPr>
        <w:t>Luís António Marques da Costa</w:t>
      </w:r>
    </w:p>
    <w:p w:rsidR="00134F39" w:rsidRPr="00134F39" w:rsidRDefault="00134F39" w:rsidP="00241DC1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134F39">
        <w:rPr>
          <w:rFonts w:ascii="Tahoma" w:hAnsi="Tahoma" w:cs="Tahoma"/>
          <w:sz w:val="22"/>
          <w:szCs w:val="22"/>
          <w:lang w:val="pt-PT"/>
        </w:rPr>
        <w:t>Maria Camila Pinto Coutinho de Almeida Pinto</w:t>
      </w:r>
    </w:p>
    <w:p w:rsidR="00134F39" w:rsidRPr="00134F39" w:rsidRDefault="00134F39" w:rsidP="00241DC1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134F39">
        <w:rPr>
          <w:rFonts w:ascii="Tahoma" w:hAnsi="Tahoma" w:cs="Tahoma"/>
          <w:sz w:val="22"/>
          <w:szCs w:val="22"/>
          <w:lang w:val="pt-PT"/>
        </w:rPr>
        <w:t xml:space="preserve">Maria Isabel </w:t>
      </w:r>
      <w:proofErr w:type="spellStart"/>
      <w:r w:rsidRPr="00134F39">
        <w:rPr>
          <w:rFonts w:ascii="Tahoma" w:hAnsi="Tahoma" w:cs="Tahoma"/>
          <w:sz w:val="22"/>
          <w:szCs w:val="22"/>
          <w:lang w:val="pt-PT"/>
        </w:rPr>
        <w:t>Pazos</w:t>
      </w:r>
      <w:proofErr w:type="spellEnd"/>
      <w:r w:rsidRPr="00134F39">
        <w:rPr>
          <w:rFonts w:ascii="Tahoma" w:hAnsi="Tahoma" w:cs="Tahoma"/>
          <w:sz w:val="22"/>
          <w:szCs w:val="22"/>
          <w:lang w:val="pt-PT"/>
        </w:rPr>
        <w:t xml:space="preserve"> Portela</w:t>
      </w:r>
    </w:p>
    <w:p w:rsidR="00134F39" w:rsidRPr="00134F39" w:rsidRDefault="00134F39" w:rsidP="00241DC1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134F39">
        <w:rPr>
          <w:rFonts w:ascii="Tahoma" w:hAnsi="Tahoma" w:cs="Tahoma"/>
          <w:sz w:val="22"/>
          <w:szCs w:val="22"/>
          <w:lang w:val="pt-PT"/>
        </w:rPr>
        <w:t>Maria Margarida da Cunha Damasceno</w:t>
      </w:r>
    </w:p>
    <w:p w:rsidR="00134F39" w:rsidRPr="00134F39" w:rsidRDefault="00134F39" w:rsidP="00241DC1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134F39">
        <w:rPr>
          <w:rFonts w:ascii="Tahoma" w:hAnsi="Tahoma" w:cs="Tahoma"/>
          <w:sz w:val="22"/>
          <w:szCs w:val="22"/>
          <w:lang w:val="pt-PT"/>
        </w:rPr>
        <w:t>Mónica Branco de Carvalho Nave</w:t>
      </w:r>
    </w:p>
    <w:p w:rsidR="00134F39" w:rsidRPr="00134F39" w:rsidRDefault="00134F39" w:rsidP="00241DC1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134F39">
        <w:rPr>
          <w:rFonts w:ascii="Tahoma" w:hAnsi="Tahoma" w:cs="Tahoma"/>
          <w:sz w:val="22"/>
          <w:szCs w:val="22"/>
          <w:lang w:val="pt-PT"/>
        </w:rPr>
        <w:t>Nuno Miguel Teixeira de Sousa</w:t>
      </w:r>
    </w:p>
    <w:p w:rsidR="00134F39" w:rsidRPr="00134F39" w:rsidRDefault="00134F39" w:rsidP="00241DC1">
      <w:pPr>
        <w:ind w:left="851"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134F39">
        <w:rPr>
          <w:rFonts w:ascii="Tahoma" w:hAnsi="Tahoma" w:cs="Tahoma"/>
          <w:b/>
          <w:sz w:val="22"/>
          <w:szCs w:val="22"/>
          <w:lang w:val="pt-PT"/>
        </w:rPr>
        <w:t>Suplentes</w:t>
      </w:r>
    </w:p>
    <w:p w:rsidR="00134F39" w:rsidRPr="00134F39" w:rsidRDefault="00134F39" w:rsidP="00241DC1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134F39">
        <w:rPr>
          <w:rFonts w:ascii="Tahoma" w:hAnsi="Tahoma" w:cs="Tahoma"/>
          <w:b w:val="0"/>
          <w:sz w:val="22"/>
          <w:szCs w:val="22"/>
          <w:lang w:val="pt-PT"/>
        </w:rPr>
        <w:t>Sandra Cristina Conceição Bento</w:t>
      </w:r>
    </w:p>
    <w:p w:rsidR="00134F39" w:rsidRDefault="00134F39" w:rsidP="00241DC1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134F39">
        <w:rPr>
          <w:rFonts w:ascii="Tahoma" w:hAnsi="Tahoma" w:cs="Tahoma"/>
          <w:b w:val="0"/>
          <w:sz w:val="22"/>
          <w:szCs w:val="22"/>
          <w:lang w:val="pt-PT"/>
        </w:rPr>
        <w:t>Catarina Isabel Soares Silva Marques Portela</w:t>
      </w:r>
    </w:p>
    <w:p w:rsidR="00241DC1" w:rsidRPr="00134F39" w:rsidRDefault="00241DC1" w:rsidP="00241DC1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</w:p>
    <w:p w:rsidR="00A50D47" w:rsidRDefault="00BE1E07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BE1E07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241DC1" w:rsidRDefault="00241DC1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134F39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ONCOLOGIA MÉDICA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Pr="00A50D47" w:rsidRDefault="00A50D47" w:rsidP="00A50D47">
      <w:pPr>
        <w:spacing w:before="100" w:line="276" w:lineRule="auto"/>
        <w:ind w:left="426"/>
        <w:rPr>
          <w:rFonts w:ascii="Tahoma" w:hAnsi="Tahoma" w:cs="Tahoma"/>
          <w:sz w:val="22"/>
          <w:szCs w:val="22"/>
          <w:lang w:val="pt-PT"/>
        </w:rPr>
      </w:pPr>
    </w:p>
    <w:p w:rsidR="00134F39" w:rsidRDefault="00134F39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134F39">
        <w:rPr>
          <w:rFonts w:ascii="Tahoma" w:hAnsi="Tahoma" w:cs="Tahoma"/>
          <w:sz w:val="20"/>
          <w:szCs w:val="20"/>
          <w:lang w:val="pt-PT"/>
        </w:rPr>
        <w:t>A Oncologia Médica representa um garante para os doentes oncológicos no acesso a cuidados médicos diferenciados e personalizados. O Oncologista Médico deve estar preparado para que consiga coligir e coordenar os conhecimentos científicos apropriados para cada doente e deve saber comunicar os planos de tratamento e seguimento, que sejam adequados, aos doentes oncológicos e seus familiares.</w:t>
      </w:r>
    </w:p>
    <w:p w:rsidR="00134F39" w:rsidRPr="00134F39" w:rsidRDefault="00134F39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134F39" w:rsidRDefault="00134F39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134F39">
        <w:rPr>
          <w:rFonts w:ascii="Tahoma" w:hAnsi="Tahoma" w:cs="Tahoma"/>
          <w:sz w:val="20"/>
          <w:szCs w:val="20"/>
          <w:lang w:val="pt-PT"/>
        </w:rPr>
        <w:t xml:space="preserve">Esta missão pressupõe, o desenvolvimento na capacidade de o Médico Oncologista estar envolvido com uma participação muito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activa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em grupos multidisciplinares. Para tanto, exige-se que este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aspecto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da formação do Oncologista Médico receba particular atenção durante o internato de oncologia, tal como está estabelecido pelas duas mais importantes sociedades internacionais de Oncologia (a ESMO e a ASCO) quando afirmam </w:t>
      </w:r>
      <w:proofErr w:type="gramStart"/>
      <w:r w:rsidRPr="00134F39">
        <w:rPr>
          <w:rFonts w:ascii="Tahoma" w:hAnsi="Tahoma" w:cs="Tahoma"/>
          <w:sz w:val="20"/>
          <w:szCs w:val="20"/>
          <w:lang w:val="pt-PT"/>
        </w:rPr>
        <w:t>que</w:t>
      </w:r>
      <w:proofErr w:type="gramEnd"/>
      <w:r w:rsidRPr="00134F39">
        <w:rPr>
          <w:rFonts w:ascii="Tahoma" w:hAnsi="Tahoma" w:cs="Tahoma"/>
          <w:sz w:val="20"/>
          <w:szCs w:val="20"/>
          <w:lang w:val="pt-PT"/>
        </w:rPr>
        <w:t xml:space="preserve">: “Medical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oncology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training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programmes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gramStart"/>
      <w:r w:rsidRPr="00134F39">
        <w:rPr>
          <w:rFonts w:ascii="Tahoma" w:hAnsi="Tahoma" w:cs="Tahoma"/>
          <w:sz w:val="20"/>
          <w:szCs w:val="20"/>
          <w:lang w:val="pt-PT"/>
        </w:rPr>
        <w:t>must</w:t>
      </w:r>
      <w:proofErr w:type="gram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provide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an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intellectual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environment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for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acquisition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of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the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knowledge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,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skills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,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clinical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judgement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and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attitudes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essential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to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the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practice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of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medical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oncology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in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the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context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of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multidisciplinary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care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>” (</w:t>
      </w:r>
      <w:hyperlink r:id="rId7" w:history="1">
        <w:r w:rsidRPr="00134F39">
          <w:rPr>
            <w:rStyle w:val="Hiperligao"/>
            <w:rFonts w:ascii="Tahoma" w:hAnsi="Tahoma" w:cs="Tahoma"/>
            <w:sz w:val="20"/>
            <w:szCs w:val="20"/>
            <w:lang w:val="pt-PT"/>
          </w:rPr>
          <w:t>http://www.esmo.org/Career-Development/Global-Curriculum-in-Medical-Oncology</w:t>
        </w:r>
      </w:hyperlink>
      <w:r w:rsidRPr="00134F39">
        <w:rPr>
          <w:rFonts w:ascii="Tahoma" w:hAnsi="Tahoma" w:cs="Tahoma"/>
          <w:sz w:val="20"/>
          <w:szCs w:val="20"/>
          <w:lang w:val="pt-PT"/>
        </w:rPr>
        <w:t>).</w:t>
      </w:r>
    </w:p>
    <w:p w:rsidR="00134F39" w:rsidRPr="00134F39" w:rsidRDefault="00134F39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134F39" w:rsidRDefault="00134F39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134F39">
        <w:rPr>
          <w:rFonts w:ascii="Tahoma" w:hAnsi="Tahoma" w:cs="Tahoma"/>
          <w:sz w:val="20"/>
          <w:szCs w:val="20"/>
          <w:lang w:val="pt-PT"/>
        </w:rPr>
        <w:t xml:space="preserve">Nesta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perspectiva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, a Lista que se candidata à Direção do Colégio da Especialidade em Oncologia Médica, entende que a par de muitas outras iniciativas já iniciadas pelo colégio anterior deve ter como um dos </w:t>
      </w:r>
      <w:proofErr w:type="spellStart"/>
      <w:r w:rsidRPr="00134F39">
        <w:rPr>
          <w:rFonts w:ascii="Tahoma" w:hAnsi="Tahoma" w:cs="Tahoma"/>
          <w:sz w:val="20"/>
          <w:szCs w:val="20"/>
          <w:lang w:val="pt-PT"/>
        </w:rPr>
        <w:t>objectivos</w:t>
      </w:r>
      <w:proofErr w:type="spellEnd"/>
      <w:r w:rsidRPr="00134F39">
        <w:rPr>
          <w:rFonts w:ascii="Tahoma" w:hAnsi="Tahoma" w:cs="Tahoma"/>
          <w:sz w:val="20"/>
          <w:szCs w:val="20"/>
          <w:lang w:val="pt-PT"/>
        </w:rPr>
        <w:t xml:space="preserve"> prioritários, a atenção à formação dos novos Oncologistas Médicos na vertente da participação e preparação para eventual coordenação de equipas multidisciplinares. Esta competência </w:t>
      </w:r>
      <w:r w:rsidR="00E45BCC">
        <w:rPr>
          <w:rFonts w:ascii="Tahoma" w:hAnsi="Tahoma" w:cs="Tahoma"/>
          <w:sz w:val="20"/>
          <w:szCs w:val="20"/>
          <w:lang w:val="pt-PT"/>
        </w:rPr>
        <w:t>deve</w:t>
      </w:r>
      <w:r w:rsidRPr="00134F39">
        <w:rPr>
          <w:rFonts w:ascii="Tahoma" w:hAnsi="Tahoma" w:cs="Tahoma"/>
          <w:sz w:val="20"/>
          <w:szCs w:val="20"/>
          <w:lang w:val="pt-PT"/>
        </w:rPr>
        <w:t xml:space="preserve"> </w:t>
      </w:r>
      <w:r w:rsidR="00E45BCC">
        <w:rPr>
          <w:rFonts w:ascii="Tahoma" w:hAnsi="Tahoma" w:cs="Tahoma"/>
          <w:sz w:val="20"/>
          <w:szCs w:val="20"/>
          <w:lang w:val="pt-PT"/>
        </w:rPr>
        <w:t>estar explícita no currículo do Oncologista Médico</w:t>
      </w:r>
      <w:r w:rsidRPr="00134F39">
        <w:rPr>
          <w:rFonts w:ascii="Tahoma" w:hAnsi="Tahoma" w:cs="Tahoma"/>
          <w:sz w:val="20"/>
          <w:szCs w:val="20"/>
          <w:lang w:val="pt-PT"/>
        </w:rPr>
        <w:t>.</w:t>
      </w:r>
    </w:p>
    <w:p w:rsidR="00134F39" w:rsidRDefault="00134F39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241DC1" w:rsidRDefault="00241DC1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241DC1" w:rsidRDefault="00241DC1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241DC1" w:rsidRDefault="00241DC1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241DC1" w:rsidRDefault="00241DC1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241DC1" w:rsidRDefault="00241DC1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241DC1" w:rsidRDefault="00241DC1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241DC1" w:rsidRPr="00134F39" w:rsidRDefault="00241DC1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134F39" w:rsidRPr="00134F39" w:rsidRDefault="00134F39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134F39">
        <w:rPr>
          <w:rFonts w:ascii="Tahoma" w:hAnsi="Tahoma" w:cs="Tahoma"/>
          <w:sz w:val="20"/>
          <w:szCs w:val="20"/>
          <w:lang w:val="pt-PT"/>
        </w:rPr>
        <w:t>Assim, será possível o reconhecimento transversal de que o Oncologista Médico deve ter um papel fundamental na abordagem multidisciplinar ao doente oncológico, pela competência que desenvolveu na integração dos diferentes contributos médicos, bem como na capacidade de comunicação e seguimento de planos terapêuticos nos diferentes contextos da doença oncológica.</w:t>
      </w:r>
    </w:p>
    <w:p w:rsidR="00134F39" w:rsidRDefault="00134F39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134F39" w:rsidRDefault="00134F39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134F39">
        <w:rPr>
          <w:rFonts w:ascii="Tahoma" w:hAnsi="Tahoma" w:cs="Tahoma"/>
          <w:sz w:val="20"/>
          <w:szCs w:val="20"/>
          <w:lang w:val="pt-PT"/>
        </w:rPr>
        <w:t xml:space="preserve">O enorme desenvolvimento da investigação na área da oncologia constitui um desafio à capacidade de converter em conhecimento médico e competência clínica o manancial de informação científica que é oferecido. Sobretudo, numa fase de formação em que não se procura a segmentação mas antes a integração, o internato de Oncologia Médica deve ser orientado para a estruturação duma formação sólida, completa e também </w:t>
      </w:r>
      <w:bookmarkStart w:id="0" w:name="_GoBack"/>
      <w:bookmarkEnd w:id="0"/>
      <w:r w:rsidRPr="00134F39">
        <w:rPr>
          <w:rFonts w:ascii="Tahoma" w:hAnsi="Tahoma" w:cs="Tahoma"/>
          <w:sz w:val="20"/>
          <w:szCs w:val="20"/>
          <w:lang w:val="pt-PT"/>
        </w:rPr>
        <w:t>capaz de preparar os futuros Oncologistas para tarefas organizativas.</w:t>
      </w:r>
    </w:p>
    <w:p w:rsidR="00134F39" w:rsidRPr="00134F39" w:rsidRDefault="00134F39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134F39" w:rsidRPr="00134F39" w:rsidRDefault="00134F39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134F39">
        <w:rPr>
          <w:rFonts w:ascii="Tahoma" w:hAnsi="Tahoma" w:cs="Tahoma"/>
          <w:sz w:val="20"/>
          <w:szCs w:val="20"/>
          <w:lang w:val="pt-PT"/>
        </w:rPr>
        <w:t xml:space="preserve">Esta Lista acredita que é uma mais-valia enorme para todos os doentes oncológicos e para todos os colegas envolvidos no tratamento multidisciplinar do cancro, a presença profissionalmente competente de Oncologistas Médicos sempre que qualquer Unidade de Saúde possa assumir responsabilidades no diagnóstico, no tratamento, e no seguimento de doentes oncológicos. </w:t>
      </w:r>
    </w:p>
    <w:p w:rsidR="00134F39" w:rsidRPr="00134F39" w:rsidRDefault="00134F39" w:rsidP="00134F39">
      <w:pPr>
        <w:jc w:val="both"/>
        <w:rPr>
          <w:rFonts w:ascii="Tahoma" w:hAnsi="Tahoma" w:cs="Tahoma"/>
          <w:sz w:val="20"/>
          <w:szCs w:val="20"/>
          <w:lang w:val="pt-PT"/>
        </w:rPr>
      </w:pPr>
    </w:p>
    <w:sectPr w:rsidR="00134F39" w:rsidRPr="00134F39" w:rsidSect="00AA744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BE1E07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E45B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134F39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ONCOLOGIA MÉDICA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34F39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1DC1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26F12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A84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1E0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5BCC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34F3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mo.org/Career-Development/Global-Curriculum-in-Medical-Onc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6</cp:revision>
  <cp:lastPrinted>2015-02-26T15:16:00Z</cp:lastPrinted>
  <dcterms:created xsi:type="dcterms:W3CDTF">2017-10-26T10:03:00Z</dcterms:created>
  <dcterms:modified xsi:type="dcterms:W3CDTF">2017-10-27T18:48:00Z</dcterms:modified>
</cp:coreProperties>
</file>