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6E123D" w:rsidRPr="006E123D" w:rsidRDefault="006E123D" w:rsidP="006E123D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E123D">
        <w:rPr>
          <w:rFonts w:ascii="Tahoma" w:hAnsi="Tahoma" w:cs="Tahoma"/>
          <w:b w:val="0"/>
          <w:sz w:val="22"/>
          <w:szCs w:val="22"/>
          <w:lang w:val="pt-PT"/>
        </w:rPr>
        <w:t>Francisco Manuel Gamito Ferreira Quaresma Guerreiro</w:t>
      </w:r>
    </w:p>
    <w:p w:rsidR="006E123D" w:rsidRPr="006E123D" w:rsidRDefault="006E123D" w:rsidP="006E123D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E123D">
        <w:rPr>
          <w:rFonts w:ascii="Tahoma" w:hAnsi="Tahoma" w:cs="Tahoma"/>
          <w:b w:val="0"/>
          <w:sz w:val="22"/>
          <w:szCs w:val="22"/>
          <w:lang w:val="pt-PT"/>
        </w:rPr>
        <w:t xml:space="preserve">José Júlio Pereira de Nóbrega                       </w:t>
      </w:r>
    </w:p>
    <w:p w:rsidR="006E123D" w:rsidRPr="006E123D" w:rsidRDefault="006E123D" w:rsidP="006E123D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E123D">
        <w:rPr>
          <w:rFonts w:ascii="Tahoma" w:hAnsi="Tahoma" w:cs="Tahoma"/>
          <w:b w:val="0"/>
          <w:sz w:val="22"/>
          <w:szCs w:val="22"/>
          <w:lang w:val="pt-PT"/>
        </w:rPr>
        <w:t xml:space="preserve">Luís Quintino dos Santos Ribeiro Duarte             </w:t>
      </w:r>
    </w:p>
    <w:p w:rsidR="006E123D" w:rsidRPr="006E123D" w:rsidRDefault="006E123D" w:rsidP="006E123D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E123D">
        <w:rPr>
          <w:rFonts w:ascii="Tahoma" w:hAnsi="Tahoma" w:cs="Tahoma"/>
          <w:b w:val="0"/>
          <w:sz w:val="22"/>
          <w:szCs w:val="22"/>
          <w:lang w:val="pt-PT"/>
        </w:rPr>
        <w:t>Óscar Ferraz Camacho</w:t>
      </w:r>
    </w:p>
    <w:p w:rsidR="006E123D" w:rsidRPr="006E123D" w:rsidRDefault="006E123D" w:rsidP="006E123D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E123D">
        <w:rPr>
          <w:rFonts w:ascii="Tahoma" w:hAnsi="Tahoma" w:cs="Tahoma"/>
          <w:b w:val="0"/>
          <w:sz w:val="22"/>
          <w:szCs w:val="22"/>
          <w:lang w:val="pt-PT"/>
        </w:rPr>
        <w:t xml:space="preserve">Tiago David da Fonseca Fernandes           </w:t>
      </w:r>
    </w:p>
    <w:p w:rsidR="006E123D" w:rsidRPr="006E123D" w:rsidRDefault="006E123D" w:rsidP="006E123D">
      <w:pPr>
        <w:pStyle w:val="Ttul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6E123D">
        <w:rPr>
          <w:rFonts w:ascii="Tahoma" w:hAnsi="Tahoma" w:cs="Tahoma"/>
          <w:sz w:val="22"/>
          <w:szCs w:val="22"/>
          <w:lang w:val="pt-PT"/>
        </w:rPr>
        <w:t>Suplente</w:t>
      </w:r>
    </w:p>
    <w:p w:rsidR="006E123D" w:rsidRPr="006E123D" w:rsidRDefault="006E123D" w:rsidP="006E123D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6E123D">
        <w:rPr>
          <w:rFonts w:ascii="Tahoma" w:hAnsi="Tahoma" w:cs="Tahoma"/>
          <w:b w:val="0"/>
          <w:sz w:val="22"/>
          <w:szCs w:val="22"/>
          <w:lang w:val="pt-PT"/>
        </w:rPr>
        <w:t xml:space="preserve">António Miguel </w:t>
      </w:r>
      <w:proofErr w:type="spellStart"/>
      <w:r w:rsidRPr="006E123D">
        <w:rPr>
          <w:rFonts w:ascii="Tahoma" w:hAnsi="Tahoma" w:cs="Tahoma"/>
          <w:b w:val="0"/>
          <w:sz w:val="22"/>
          <w:szCs w:val="22"/>
          <w:lang w:val="pt-PT"/>
        </w:rPr>
        <w:t>Sanchez</w:t>
      </w:r>
      <w:proofErr w:type="spellEnd"/>
      <w:r w:rsidRPr="006E123D">
        <w:rPr>
          <w:rFonts w:ascii="Tahoma" w:hAnsi="Tahoma" w:cs="Tahoma"/>
          <w:b w:val="0"/>
          <w:sz w:val="22"/>
          <w:szCs w:val="22"/>
          <w:lang w:val="pt-PT"/>
        </w:rPr>
        <w:t xml:space="preserve"> </w:t>
      </w:r>
      <w:proofErr w:type="spellStart"/>
      <w:r w:rsidRPr="006E123D">
        <w:rPr>
          <w:rFonts w:ascii="Tahoma" w:hAnsi="Tahoma" w:cs="Tahoma"/>
          <w:b w:val="0"/>
          <w:sz w:val="22"/>
          <w:szCs w:val="22"/>
          <w:lang w:val="pt-PT"/>
        </w:rPr>
        <w:t>Manjon</w:t>
      </w:r>
      <w:proofErr w:type="spellEnd"/>
      <w:r w:rsidRPr="006E123D">
        <w:rPr>
          <w:rFonts w:ascii="Tahoma" w:hAnsi="Tahoma" w:cs="Tahoma"/>
          <w:b w:val="0"/>
          <w:sz w:val="22"/>
          <w:szCs w:val="22"/>
          <w:lang w:val="pt-PT"/>
        </w:rPr>
        <w:t xml:space="preserve">                    </w:t>
      </w:r>
    </w:p>
    <w:p w:rsidR="00A50D47" w:rsidRDefault="0099029C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99029C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Default="00580619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 xml:space="preserve">COMPETÊNCIA DE </w:t>
      </w:r>
      <w:r w:rsidR="006E123D">
        <w:rPr>
          <w:rFonts w:ascii="Tahoma" w:hAnsi="Tahoma" w:cs="Tahoma"/>
          <w:b/>
          <w:sz w:val="22"/>
          <w:szCs w:val="22"/>
          <w:lang w:val="pt-PT"/>
        </w:rPr>
        <w:t>MEDICINA HIPERBÁRICA E SUBAQUÁTICA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580619" w:rsidRPr="00DA54E4" w:rsidRDefault="00580619" w:rsidP="007F740A">
      <w:pPr>
        <w:jc w:val="center"/>
        <w:rPr>
          <w:rFonts w:ascii="Tahoma" w:hAnsi="Tahoma" w:cs="Tahoma"/>
          <w:b/>
          <w:lang w:val="pt-PT"/>
        </w:rPr>
      </w:pP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A Medicina Hiperbárica e Subaquática (MHS) </w:t>
      </w:r>
      <w:proofErr w:type="gram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está reconhecida</w:t>
      </w:r>
      <w:proofErr w:type="gram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desde 2009 pelo Conselho Nacional Executivo (CNE) da Ordem dos Médicos (OM) como uma Competência. </w:t>
      </w:r>
    </w:p>
    <w:p w:rsidR="006E123D" w:rsidRP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Os primeiros elementos do Colégio da Competência em MHS do triénio 2012-2014 foram 9 colegas representantes das Secções Regionais do Norte e Sul (inclui o arquipélago dos Açores e Madeira) que encontraram tudo por realizar/organizar e entre as diferentes tarefas a que se propuseram dedicaram-se com especial atenção á elaboração do Programa de Formação em Medicina Hiperbárica e Subaquática que foi aprovado pelo CNE da OM no dia 7 de Novembro de 2014 e que está disponível no </w:t>
      </w:r>
      <w:proofErr w:type="gram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site</w:t>
      </w:r>
      <w:proofErr w:type="gram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da OM.</w:t>
      </w:r>
    </w:p>
    <w:p w:rsidR="006E123D" w:rsidRP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A segunda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direcção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que exerceu a sua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actividade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durante o triénio 2015-2017 preocupou-se em apoiar as novas unidades que surgiram ou que estavam em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actividade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, realizou os primeiros exames de atribuição da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respectiva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competência, ajudou a criar a rede de referenciação do doente </w:t>
      </w:r>
      <w:proofErr w:type="gram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critico</w:t>
      </w:r>
      <w:proofErr w:type="gram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na Medicina Intensiva e, iniciou um trabalho de regulamentação do exercício da Medicina Hiperbárica em unidades com camaras monolugares.</w:t>
      </w:r>
    </w:p>
    <w:p w:rsidR="006E123D" w:rsidRP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A lista de elementos que integra esta candidatura tem como grandes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objectivos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no exercício do seu mandato os seguintes:</w:t>
      </w:r>
    </w:p>
    <w:p w:rsidR="00ED4ADA" w:rsidRPr="006E123D" w:rsidRDefault="00ED4ADA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1. Continuar a promover a Medicina Hiperbárica na comunidade médica em geral.</w:t>
      </w:r>
    </w:p>
    <w:p w:rsidR="00ED4ADA" w:rsidRPr="006E123D" w:rsidRDefault="00ED4ADA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2. Definir uma estratégia de referenciação nacional dos doentes com indicação para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Oxigenoterapia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Hiperbárica que a OM proponha ao Ministério da Saúde nomeadamente em questões como o financiamento do tratamento</w:t>
      </w:r>
    </w:p>
    <w:p w:rsidR="00ED4ADA" w:rsidRPr="006E123D" w:rsidRDefault="00ED4ADA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3. Continuar a elaborar estratégias de integração do ensino e divulgação da Medicina Hiperbárica nas escolas médicas portuguesas.</w:t>
      </w:r>
    </w:p>
    <w:p w:rsidR="00ED4ADA" w:rsidRPr="006E123D" w:rsidRDefault="00ED4ADA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4. Manter a qualidade do exercício da Medicina Hiperbárica e Subaquática nos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aspectos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clínicos, técnicos, padrões de segurança e legislação nesta área.</w:t>
      </w:r>
    </w:p>
    <w:p w:rsidR="00ED4ADA" w:rsidRPr="006E123D" w:rsidRDefault="00ED4ADA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lastRenderedPageBreak/>
        <w:t xml:space="preserve">5. Implementação de normas de saúde ocupacional que visem proteger os profissionais de saúde que exerçam a sua prática nesta área através da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interacção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com a Autoridade das Condições de Trabalho (ACT).</w:t>
      </w:r>
    </w:p>
    <w:p w:rsidR="00ED4ADA" w:rsidRPr="006E123D" w:rsidRDefault="00ED4ADA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ED4ADA" w:rsidRPr="00D7575E" w:rsidRDefault="006E123D" w:rsidP="00D7575E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7575E">
        <w:rPr>
          <w:rFonts w:ascii="Tahoma" w:hAnsi="Tahoma" w:cs="Tahoma"/>
          <w:color w:val="000000" w:themeColor="text1"/>
          <w:sz w:val="20"/>
          <w:szCs w:val="20"/>
        </w:rPr>
        <w:t xml:space="preserve">Definir </w:t>
      </w:r>
      <w:proofErr w:type="gramStart"/>
      <w:r w:rsidRPr="00D7575E">
        <w:rPr>
          <w:rFonts w:ascii="Tahoma" w:hAnsi="Tahoma" w:cs="Tahoma"/>
          <w:i/>
          <w:color w:val="000000" w:themeColor="text1"/>
          <w:sz w:val="20"/>
          <w:szCs w:val="20"/>
        </w:rPr>
        <w:t>standards</w:t>
      </w:r>
      <w:proofErr w:type="gramEnd"/>
      <w:r w:rsidRPr="00D7575E">
        <w:rPr>
          <w:rFonts w:ascii="Tahoma" w:hAnsi="Tahoma" w:cs="Tahoma"/>
          <w:color w:val="000000" w:themeColor="text1"/>
          <w:sz w:val="20"/>
          <w:szCs w:val="20"/>
        </w:rPr>
        <w:t xml:space="preserve"> clínicos e normas para o exercício clinico da medicina subaquática.</w:t>
      </w:r>
    </w:p>
    <w:p w:rsidR="00ED4ADA" w:rsidRPr="00ED4ADA" w:rsidRDefault="00ED4ADA" w:rsidP="00ED4ADA">
      <w:pPr>
        <w:pStyle w:val="PargrafodaLista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D4ADA" w:rsidRPr="00D7575E" w:rsidRDefault="006E123D" w:rsidP="00D7575E">
      <w:pPr>
        <w:pStyle w:val="PargrafodaLista"/>
        <w:numPr>
          <w:ilvl w:val="0"/>
          <w:numId w:val="5"/>
        </w:numPr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7575E">
        <w:rPr>
          <w:rFonts w:ascii="Tahoma" w:hAnsi="Tahoma" w:cs="Tahoma"/>
          <w:color w:val="000000" w:themeColor="text1"/>
          <w:sz w:val="20"/>
          <w:szCs w:val="20"/>
        </w:rPr>
        <w:t>Assegurar o cumprimento das boas práticas clinicas em conformidade com as normas europeias de formação e exercício clinico.</w:t>
      </w:r>
    </w:p>
    <w:p w:rsid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8. Assegurar que as unidades de medicina hiperbárica, nomeadamente os sistemas hiperbáricos funcionem no cumprimento dos regulamentos de segurança, gestão de risco e de monitorização dos doentes promovendo visitas</w:t>
      </w:r>
      <w:bookmarkStart w:id="0" w:name="_GoBack"/>
      <w:bookmarkEnd w:id="0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aos hospitais.</w:t>
      </w:r>
    </w:p>
    <w:p w:rsidR="00ED4ADA" w:rsidRPr="006E123D" w:rsidRDefault="00ED4ADA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P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Todos os nossos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objectivos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têm como </w:t>
      </w:r>
      <w:proofErr w:type="spellStart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>objectivo</w:t>
      </w:r>
      <w:proofErr w:type="spellEnd"/>
      <w:r w:rsidRPr="006E123D">
        <w:rPr>
          <w:rFonts w:ascii="Tahoma" w:hAnsi="Tahoma" w:cs="Tahoma"/>
          <w:color w:val="000000" w:themeColor="text1"/>
          <w:sz w:val="20"/>
          <w:szCs w:val="20"/>
          <w:lang w:val="pt-PT"/>
        </w:rPr>
        <w:t xml:space="preserve"> que seja assegurada a qualidade na prestação dos cuidados médicos no âmbito da MHS. </w:t>
      </w:r>
    </w:p>
    <w:p w:rsidR="006E123D" w:rsidRP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Pr="006E123D" w:rsidRDefault="006E123D" w:rsidP="006E123D">
      <w:pPr>
        <w:jc w:val="both"/>
        <w:rPr>
          <w:rFonts w:ascii="Tahoma" w:hAnsi="Tahoma" w:cs="Tahoma"/>
          <w:color w:val="000000" w:themeColor="text1"/>
          <w:sz w:val="20"/>
          <w:szCs w:val="20"/>
          <w:lang w:val="pt-PT"/>
        </w:rPr>
      </w:pPr>
    </w:p>
    <w:p w:rsidR="006E123D" w:rsidRPr="006E123D" w:rsidRDefault="006E123D" w:rsidP="00580619">
      <w:pPr>
        <w:jc w:val="both"/>
        <w:rPr>
          <w:rFonts w:ascii="Tahoma" w:hAnsi="Tahoma" w:cs="Tahoma"/>
          <w:sz w:val="20"/>
          <w:szCs w:val="20"/>
          <w:lang w:val="pt-PT"/>
        </w:rPr>
      </w:pPr>
    </w:p>
    <w:sectPr w:rsidR="006E123D" w:rsidRPr="006E123D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3D" w:rsidRDefault="006E123D" w:rsidP="00A50D47">
      <w:r>
        <w:separator/>
      </w:r>
    </w:p>
  </w:endnote>
  <w:endnote w:type="continuationSeparator" w:id="0">
    <w:p w:rsidR="006E123D" w:rsidRDefault="006E123D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6E123D" w:rsidRDefault="0099029C">
        <w:pPr>
          <w:pStyle w:val="Rodap"/>
          <w:jc w:val="right"/>
        </w:pPr>
        <w:fldSimple w:instr=" PAGE   \* MERGEFORMAT ">
          <w:r w:rsidR="00D7575E">
            <w:rPr>
              <w:noProof/>
            </w:rPr>
            <w:t>2</w:t>
          </w:r>
        </w:fldSimple>
      </w:p>
    </w:sdtContent>
  </w:sdt>
  <w:p w:rsidR="006E123D" w:rsidRDefault="006E12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3D" w:rsidRDefault="006E123D" w:rsidP="00A50D47">
      <w:r>
        <w:separator/>
      </w:r>
    </w:p>
  </w:footnote>
  <w:footnote w:type="continuationSeparator" w:id="0">
    <w:p w:rsidR="006E123D" w:rsidRDefault="006E123D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23D" w:rsidRPr="00C52759" w:rsidRDefault="006E123D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6E123D" w:rsidRPr="004D34E7" w:rsidRDefault="006E123D" w:rsidP="00A50D47">
    <w:pPr>
      <w:pStyle w:val="tagline"/>
      <w:rPr>
        <w:lang w:val="pt-PT"/>
      </w:rPr>
    </w:pPr>
  </w:p>
  <w:p w:rsidR="006E123D" w:rsidRDefault="006E123D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MEDICINA HIPERBÁRICA E SUBAQUÁTICA</w:t>
    </w:r>
  </w:p>
  <w:p w:rsidR="006E123D" w:rsidRDefault="006E123D" w:rsidP="00250295">
    <w:pPr>
      <w:pStyle w:val="tagline"/>
      <w:rPr>
        <w:lang w:val="pt-PT"/>
      </w:rPr>
    </w:pPr>
  </w:p>
  <w:p w:rsidR="006E123D" w:rsidRPr="0067725A" w:rsidRDefault="006E123D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934"/>
    <w:multiLevelType w:val="hybridMultilevel"/>
    <w:tmpl w:val="EEE46A7E"/>
    <w:lvl w:ilvl="0" w:tplc="95103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7E7CE8"/>
    <w:multiLevelType w:val="hybridMultilevel"/>
    <w:tmpl w:val="240661DC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47D"/>
    <w:multiLevelType w:val="hybridMultilevel"/>
    <w:tmpl w:val="2A9AABD2"/>
    <w:lvl w:ilvl="0" w:tplc="08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19581D"/>
    <w:multiLevelType w:val="hybridMultilevel"/>
    <w:tmpl w:val="2E5271C8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1C7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0619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123D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66858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029C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575E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4ADA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6</cp:revision>
  <cp:lastPrinted>2015-02-26T15:16:00Z</cp:lastPrinted>
  <dcterms:created xsi:type="dcterms:W3CDTF">2017-10-26T10:03:00Z</dcterms:created>
  <dcterms:modified xsi:type="dcterms:W3CDTF">2017-10-27T16:43:00Z</dcterms:modified>
</cp:coreProperties>
</file>