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bookmarkStart w:id="0" w:name="_GoBack"/>
      <w:bookmarkEnd w:id="0"/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206902" w:rsidRDefault="00206902" w:rsidP="00DE6827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</w:p>
    <w:p w:rsidR="00A50D47" w:rsidRPr="0067725A" w:rsidRDefault="00A50D47" w:rsidP="00DE6827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Ana Luísa Bettencourt Lucas da Silva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António José Foz Romão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Edite Maria Spencer Reis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Elsa Sofia da Cruz Martins de Pinho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Gonçalo Manuel Carvalheiro Envia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Ivo Alexandre Carvalho dos Reis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Joana Maria Vilela Sereno da Silva Monteiro Goulart</w:t>
      </w:r>
    </w:p>
    <w:p w:rsidR="0000391B" w:rsidRPr="0000391B" w:rsidRDefault="00DE6827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>
        <w:rPr>
          <w:rFonts w:ascii="Tahoma" w:hAnsi="Tahoma" w:cs="Tahoma"/>
          <w:b w:val="0"/>
          <w:sz w:val="22"/>
          <w:szCs w:val="22"/>
          <w:lang w:val="pt-PT"/>
        </w:rPr>
        <w:t>Maria Isabel Pereira dos Santos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Marta Dora Freitas Ornelas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>Paulo Alexandre de Azevedo Pereira dos Santos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 xml:space="preserve">Victor Manuel Borges Ramos </w:t>
      </w:r>
    </w:p>
    <w:p w:rsidR="0000391B" w:rsidRPr="0000391B" w:rsidRDefault="0000391B" w:rsidP="00A12386">
      <w:pPr>
        <w:spacing w:line="300" w:lineRule="atLeast"/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00391B">
        <w:rPr>
          <w:rFonts w:ascii="Tahoma" w:hAnsi="Tahoma" w:cs="Tahoma"/>
          <w:b/>
          <w:sz w:val="22"/>
          <w:szCs w:val="22"/>
          <w:lang w:val="pt-PT"/>
        </w:rPr>
        <w:t>Suplentes</w:t>
      </w:r>
    </w:p>
    <w:p w:rsidR="0000391B" w:rsidRPr="0000391B" w:rsidRDefault="0000391B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0391B">
        <w:rPr>
          <w:rFonts w:ascii="Tahoma" w:hAnsi="Tahoma" w:cs="Tahoma"/>
          <w:b w:val="0"/>
          <w:sz w:val="22"/>
          <w:szCs w:val="22"/>
          <w:lang w:val="pt-PT"/>
        </w:rPr>
        <w:t xml:space="preserve">João Gonçalves Pereira Sequeira Carlos </w:t>
      </w:r>
    </w:p>
    <w:p w:rsidR="0000391B" w:rsidRDefault="00DE6827" w:rsidP="00A12386">
      <w:pPr>
        <w:pStyle w:val="Ttulo"/>
        <w:spacing w:line="300" w:lineRule="atLeast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>
        <w:rPr>
          <w:rFonts w:ascii="Tahoma" w:hAnsi="Tahoma" w:cs="Tahoma"/>
          <w:b w:val="0"/>
          <w:sz w:val="22"/>
          <w:szCs w:val="22"/>
          <w:lang w:val="pt-PT"/>
        </w:rPr>
        <w:t xml:space="preserve">Luís Andrés Amorim Alves </w:t>
      </w:r>
    </w:p>
    <w:p w:rsidR="00DE6827" w:rsidRPr="0000391B" w:rsidRDefault="00DE6827" w:rsidP="00DE6827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</w:p>
    <w:p w:rsidR="00A50D47" w:rsidRDefault="005B6A47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5B6A47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nY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" strokeweight="1.5pt"/>
        </w:pict>
      </w:r>
    </w:p>
    <w:p w:rsidR="00206902" w:rsidRDefault="00206902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00391B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MEDICINA GERAL E FAMILIAR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00391B" w:rsidRPr="00206902" w:rsidRDefault="0000391B" w:rsidP="0000391B">
      <w:pPr>
        <w:pStyle w:val="Normal1"/>
        <w:spacing w:after="60"/>
        <w:rPr>
          <w:rFonts w:ascii="Tahoma" w:eastAsia="Calibri" w:hAnsi="Tahoma" w:cs="Tahoma"/>
          <w:sz w:val="22"/>
          <w:szCs w:val="22"/>
        </w:rPr>
      </w:pPr>
      <w:r w:rsidRPr="00206902">
        <w:rPr>
          <w:rFonts w:ascii="Tahoma" w:eastAsia="Calibri" w:hAnsi="Tahoma" w:cs="Tahoma"/>
          <w:sz w:val="22"/>
          <w:szCs w:val="22"/>
        </w:rPr>
        <w:t xml:space="preserve">Detalhes dos CV em </w:t>
      </w:r>
      <w:hyperlink r:id="rId7">
        <w:r w:rsidRPr="00206902">
          <w:rPr>
            <w:rFonts w:ascii="Tahoma" w:eastAsia="Calibri" w:hAnsi="Tahoma" w:cs="Tahoma"/>
            <w:color w:val="0000FF"/>
            <w:sz w:val="22"/>
            <w:szCs w:val="22"/>
            <w:u w:val="single"/>
          </w:rPr>
          <w:t>mgf3p.webnode.pt</w:t>
        </w:r>
      </w:hyperlink>
    </w:p>
    <w:p w:rsidR="00206902" w:rsidRPr="0000391B" w:rsidRDefault="00206902" w:rsidP="0000391B">
      <w:pPr>
        <w:pStyle w:val="Normal1"/>
        <w:spacing w:after="60"/>
        <w:rPr>
          <w:rFonts w:ascii="Tahoma" w:eastAsia="Calibri" w:hAnsi="Tahoma" w:cs="Tahoma"/>
          <w:sz w:val="20"/>
          <w:szCs w:val="20"/>
        </w:rPr>
      </w:pPr>
    </w:p>
    <w:p w:rsidR="0000391B" w:rsidRPr="00206902" w:rsidRDefault="0000391B" w:rsidP="0000391B">
      <w:pPr>
        <w:pStyle w:val="Normal1"/>
        <w:spacing w:after="120"/>
        <w:rPr>
          <w:rFonts w:ascii="Tahoma" w:eastAsia="Calibri" w:hAnsi="Tahoma" w:cs="Tahoma"/>
          <w:sz w:val="22"/>
          <w:szCs w:val="22"/>
        </w:rPr>
      </w:pPr>
      <w:r w:rsidRPr="00206902">
        <w:rPr>
          <w:rFonts w:ascii="Tahoma" w:eastAsia="Calibri" w:hAnsi="Tahoma" w:cs="Tahoma"/>
          <w:b/>
          <w:sz w:val="22"/>
          <w:szCs w:val="22"/>
        </w:rPr>
        <w:t>Justificação da candidatura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Medicina Geral e Familiar (MGF) e os Cuidados de Saúde Primários (CSP) enfrentam desafios que exigem respostas inovadoras. Destacam-se:</w:t>
      </w:r>
    </w:p>
    <w:p w:rsidR="0000391B" w:rsidRPr="0000391B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ampla transição geracional no universo dos médicos de família (MF) portugueses;</w:t>
      </w:r>
    </w:p>
    <w:p w:rsidR="0000391B" w:rsidRPr="0000391B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necessidade de continuar o desenvolvimento do internato da especialidade – na cultura formativa, nas estratégias educacionais e de treino, no programa de formação e na avaliação dos contextos e ambientes formativos;</w:t>
      </w:r>
    </w:p>
    <w:p w:rsidR="0000391B" w:rsidRPr="0000391B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necessidade de aperfeiçoar o trabalho interdisciplinar em equipa e o envolvimento de recursos da comunidade;</w:t>
      </w:r>
    </w:p>
    <w:p w:rsidR="0000391B" w:rsidRPr="0000391B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As ingerências burocráticas que pervertem o exercício clínico, comprometendo uma prática humanista, qualificada, cientificamente fundamentada e respeitadora da ética médica;</w:t>
      </w:r>
    </w:p>
    <w:p w:rsidR="0000391B" w:rsidRPr="0000391B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Os sistemas e aplicações informáticas inadequados que descaracterizam a relação médico-paciente, além de infernizarem o dia a dia dos MF e de comprometerem a qualidade da sua prática e a segurança dos doentes;</w:t>
      </w:r>
    </w:p>
    <w:p w:rsidR="0000391B" w:rsidRPr="00A12386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lastRenderedPageBreak/>
        <w:t>A persistência de locais com condições técnicas deficientes para o exercício da especialidade;</w:t>
      </w:r>
    </w:p>
    <w:p w:rsidR="00206902" w:rsidRPr="00A12386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necessidade de impulsionar a formação e o desenvolvimento profissional contínuos dos MF do Serviço Nacional de Saúde (SNS), bem como dos setores social e privado, ao longo das suas carreiras;</w:t>
      </w:r>
    </w:p>
    <w:p w:rsidR="0000391B" w:rsidRPr="0000391B" w:rsidRDefault="0000391B" w:rsidP="00A12386">
      <w:pPr>
        <w:pStyle w:val="Normal1"/>
        <w:numPr>
          <w:ilvl w:val="0"/>
          <w:numId w:val="4"/>
        </w:numPr>
        <w:spacing w:after="120"/>
        <w:ind w:left="426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manutenção, após 12 anos de reforma dos CSP no continente, de variações inaceitáveis nas condições de trabalho e nos recursos alocados nas cerca de 870 unidades (USF e UCSP), com um diferencial iníquo entre cidadãos na acessibilidade e na qualidade de cuidados – devendo o percurso a seguir ser o de nivelar “por cima” e não o inverso;</w:t>
      </w:r>
    </w:p>
    <w:p w:rsidR="0000391B" w:rsidRPr="0000391B" w:rsidRDefault="0000391B" w:rsidP="00A12386">
      <w:pPr>
        <w:pStyle w:val="Normal1"/>
        <w:numPr>
          <w:ilvl w:val="0"/>
          <w:numId w:val="4"/>
        </w:numPr>
        <w:spacing w:after="120"/>
        <w:ind w:left="425" w:hanging="431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 xml:space="preserve">A imposição de listas de utentes com dimensões desajustadas em relação à duração dos horários de trabalho e à abrangência, complexidade e tempos estimados de execução de atividades e de atos em MGF. Levantam-se também questões relacionadas com o </w:t>
      </w:r>
      <w:r w:rsidRPr="0000391B">
        <w:rPr>
          <w:rFonts w:ascii="Tahoma" w:eastAsia="Calibri" w:hAnsi="Tahoma" w:cs="Tahoma"/>
          <w:i/>
          <w:sz w:val="20"/>
          <w:szCs w:val="20"/>
        </w:rPr>
        <w:t>task shifting</w:t>
      </w:r>
      <w:r w:rsidRPr="0000391B">
        <w:rPr>
          <w:rFonts w:ascii="Tahoma" w:eastAsia="Calibri" w:hAnsi="Tahoma" w:cs="Tahoma"/>
          <w:sz w:val="20"/>
          <w:szCs w:val="20"/>
        </w:rPr>
        <w:t xml:space="preserve"> em que, aparentemente, apenas os MF são responsáveis pelos atos de toda a equipa. Com listas de utentes com dimensão excessiva: há cuidados essenciais que não podem ser prestados; há cuidados prestados à pressa e sob </w:t>
      </w:r>
      <w:r w:rsidRPr="0000391B">
        <w:rPr>
          <w:rFonts w:ascii="Tahoma" w:eastAsia="Calibri" w:hAnsi="Tahoma" w:cs="Tahoma"/>
          <w:i/>
          <w:sz w:val="20"/>
          <w:szCs w:val="20"/>
        </w:rPr>
        <w:t>distress</w:t>
      </w:r>
      <w:r w:rsidRPr="0000391B">
        <w:rPr>
          <w:rFonts w:ascii="Tahoma" w:eastAsia="Calibri" w:hAnsi="Tahoma" w:cs="Tahoma"/>
          <w:sz w:val="20"/>
          <w:szCs w:val="20"/>
        </w:rPr>
        <w:t xml:space="preserve">; há quebras na qualidade e na capacidade resolutiva da ação médica; há o risco de uso inapropriado de MCDT e de medicamentos; piora a acessibilidade; surge sofrimento, sobrecarga e </w:t>
      </w:r>
      <w:r w:rsidRPr="0000391B">
        <w:rPr>
          <w:rFonts w:ascii="Tahoma" w:eastAsia="Calibri" w:hAnsi="Tahoma" w:cs="Tahoma"/>
          <w:i/>
          <w:sz w:val="20"/>
          <w:szCs w:val="20"/>
        </w:rPr>
        <w:t>burnout</w:t>
      </w:r>
      <w:r w:rsidRPr="0000391B">
        <w:rPr>
          <w:rFonts w:ascii="Tahoma" w:eastAsia="Calibri" w:hAnsi="Tahoma" w:cs="Tahoma"/>
          <w:sz w:val="20"/>
          <w:szCs w:val="20"/>
        </w:rPr>
        <w:t xml:space="preserve"> com compromisso da segurança dos doentes e dos profissionais.</w:t>
      </w:r>
    </w:p>
    <w:p w:rsidR="0000391B" w:rsidRPr="0000391B" w:rsidRDefault="0000391B" w:rsidP="0000391B">
      <w:pPr>
        <w:pStyle w:val="Normal1"/>
        <w:spacing w:after="240"/>
        <w:ind w:left="425"/>
        <w:contextualSpacing/>
        <w:jc w:val="both"/>
        <w:rPr>
          <w:rFonts w:ascii="Tahoma" w:hAnsi="Tahoma" w:cs="Tahoma"/>
          <w:sz w:val="20"/>
          <w:szCs w:val="20"/>
        </w:rPr>
      </w:pPr>
    </w:p>
    <w:p w:rsidR="00206902" w:rsidRPr="0000391B" w:rsidRDefault="0000391B" w:rsidP="0000391B">
      <w:pPr>
        <w:pStyle w:val="Normal1"/>
        <w:spacing w:after="48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 xml:space="preserve">O Colégio da Especialidade de MGF da Ordem dos Médicos (OM) é um dos múltiplos atores chamados a intervir nestes desafios. Tendo presente que as direções do Colégio de MGF têm dado o seu melhor e têm tido um papel muito importante na defesa e na promoção da MGF, estamos convictos que o Colégio pode e deve intensificar, ampliar e aprofundar a sua ação. </w:t>
      </w:r>
    </w:p>
    <w:p w:rsidR="00D5134E" w:rsidRDefault="00D5134E" w:rsidP="00D5134E">
      <w:pPr>
        <w:pStyle w:val="Normal1"/>
        <w:pBdr>
          <w:top w:val="single" w:sz="4" w:space="7" w:color="000000"/>
          <w:left w:val="single" w:sz="4" w:space="5" w:color="000000"/>
          <w:bottom w:val="single" w:sz="4" w:space="7" w:color="000000"/>
          <w:right w:val="single" w:sz="4" w:space="5" w:color="000000"/>
        </w:pBdr>
        <w:spacing w:after="120"/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Princípios norteadores</w:t>
      </w:r>
    </w:p>
    <w:p w:rsidR="00D5134E" w:rsidRDefault="0000391B" w:rsidP="00D5134E">
      <w:pPr>
        <w:pStyle w:val="Normal1"/>
        <w:pBdr>
          <w:top w:val="single" w:sz="4" w:space="7" w:color="000000"/>
          <w:left w:val="single" w:sz="4" w:space="5" w:color="000000"/>
          <w:bottom w:val="single" w:sz="4" w:space="7" w:color="000000"/>
          <w:right w:val="single" w:sz="4" w:space="5" w:color="000000"/>
        </w:pBdr>
        <w:spacing w:after="120"/>
        <w:jc w:val="center"/>
        <w:rPr>
          <w:rFonts w:ascii="Tahoma" w:eastAsia="Calibri" w:hAnsi="Tahoma" w:cs="Tahoma"/>
          <w:b/>
          <w:i/>
          <w:sz w:val="22"/>
          <w:szCs w:val="22"/>
        </w:rPr>
      </w:pPr>
      <w:r w:rsidRPr="00206902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206902">
        <w:rPr>
          <w:rFonts w:ascii="Tahoma" w:eastAsia="Calibri" w:hAnsi="Tahoma" w:cs="Tahoma"/>
          <w:b/>
          <w:i/>
          <w:sz w:val="22"/>
          <w:szCs w:val="22"/>
        </w:rPr>
        <w:t>Proximidade; Profissionalismo; Participação</w:t>
      </w:r>
    </w:p>
    <w:p w:rsidR="0000391B" w:rsidRPr="00D5134E" w:rsidRDefault="00D5134E" w:rsidP="00A12386">
      <w:pPr>
        <w:pStyle w:val="Normal1"/>
        <w:pBdr>
          <w:top w:val="single" w:sz="4" w:space="7" w:color="000000"/>
          <w:left w:val="single" w:sz="4" w:space="5" w:color="000000"/>
          <w:bottom w:val="single" w:sz="4" w:space="7" w:color="000000"/>
          <w:right w:val="single" w:sz="4" w:space="5" w:color="000000"/>
        </w:pBdr>
        <w:spacing w:after="240"/>
        <w:jc w:val="cent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i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sz w:val="22"/>
          <w:szCs w:val="22"/>
        </w:rPr>
        <w:t>(MGF3P)</w:t>
      </w:r>
    </w:p>
    <w:p w:rsidR="0000391B" w:rsidRPr="0000391B" w:rsidRDefault="0000391B" w:rsidP="00D5134E">
      <w:pPr>
        <w:pStyle w:val="Normal1"/>
        <w:numPr>
          <w:ilvl w:val="0"/>
          <w:numId w:val="5"/>
        </w:numPr>
        <w:spacing w:after="12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Proximidade de interação com todos os MF, em todas as unidades públicas, privadas e do sector social;</w:t>
      </w:r>
    </w:p>
    <w:p w:rsidR="0000391B" w:rsidRPr="0000391B" w:rsidRDefault="0000391B" w:rsidP="00D5134E">
      <w:pPr>
        <w:pStyle w:val="Normal1"/>
        <w:numPr>
          <w:ilvl w:val="0"/>
          <w:numId w:val="5"/>
        </w:numPr>
        <w:spacing w:after="12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Mobilização e estímulo à participação de todos os MF, com especial atenção aos recém especialistas que, em três a cinco anos, reconstituirão o universo dos MF portugueses, permitindo a cobertura total dos cidadãos que desejem ter um MF no SNS;</w:t>
      </w:r>
    </w:p>
    <w:p w:rsidR="0000391B" w:rsidRPr="0000391B" w:rsidRDefault="0000391B" w:rsidP="00D5134E">
      <w:pPr>
        <w:pStyle w:val="Normal1"/>
        <w:numPr>
          <w:ilvl w:val="0"/>
          <w:numId w:val="5"/>
        </w:numPr>
        <w:spacing w:after="12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Organização de uma ampla rede de MF colaboradores/delegados da direção do Colégio, que aproveita a valiosa experiência acumulada e potencia um futuro alicerçado na ética médica e na história da especialidade de MGF;</w:t>
      </w:r>
    </w:p>
    <w:p w:rsidR="0000391B" w:rsidRPr="0000391B" w:rsidRDefault="0000391B" w:rsidP="00D5134E">
      <w:pPr>
        <w:pStyle w:val="Normal1"/>
        <w:numPr>
          <w:ilvl w:val="0"/>
          <w:numId w:val="5"/>
        </w:numPr>
        <w:spacing w:after="12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Articulação próxima e intercooperação com os diversos órgãos e serviços da OM, em especial com  os órgãos regionais e distritais e com os outros Colégios de Especialidade, porque a Medicina é um todo e a MGF se interliga com todas as especialidades;</w:t>
      </w:r>
    </w:p>
    <w:p w:rsidR="0000391B" w:rsidRPr="0000391B" w:rsidRDefault="0000391B" w:rsidP="00D5134E">
      <w:pPr>
        <w:pStyle w:val="Normal1"/>
        <w:numPr>
          <w:ilvl w:val="0"/>
          <w:numId w:val="5"/>
        </w:numPr>
        <w:spacing w:after="12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Desenvolvimento de uma cultura de profissionalismo, personalização, rigor científico, compreensão e humanismo, enquanto pilares essenciais da MGF qualificada;</w:t>
      </w:r>
    </w:p>
    <w:p w:rsidR="0000391B" w:rsidRPr="00206902" w:rsidRDefault="0000391B" w:rsidP="00206902">
      <w:pPr>
        <w:pStyle w:val="Normal1"/>
        <w:numPr>
          <w:ilvl w:val="0"/>
          <w:numId w:val="5"/>
        </w:numPr>
        <w:spacing w:after="240"/>
        <w:ind w:left="426" w:hanging="437"/>
        <w:jc w:val="both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Abertura e abrangência do Colégio relativamente aos parceiros, níveis e áreas que possam influenciar e ter impacto na qualidade e desenvolvimento da MGF.</w:t>
      </w:r>
    </w:p>
    <w:p w:rsidR="00206902" w:rsidRDefault="00206902" w:rsidP="00206902">
      <w:pPr>
        <w:pStyle w:val="Normal1"/>
        <w:spacing w:after="240"/>
        <w:jc w:val="both"/>
        <w:rPr>
          <w:rFonts w:ascii="Tahoma" w:eastAsia="Calibri" w:hAnsi="Tahoma" w:cs="Tahoma"/>
          <w:sz w:val="20"/>
          <w:szCs w:val="20"/>
        </w:rPr>
      </w:pPr>
    </w:p>
    <w:p w:rsidR="0000391B" w:rsidRPr="00A12386" w:rsidRDefault="0000391B" w:rsidP="0000391B">
      <w:pPr>
        <w:pStyle w:val="Normal1"/>
        <w:pBdr>
          <w:top w:val="single" w:sz="4" w:space="7" w:color="000000"/>
          <w:left w:val="single" w:sz="4" w:space="5" w:color="000000"/>
          <w:bottom w:val="single" w:sz="4" w:space="7" w:color="000000"/>
          <w:right w:val="single" w:sz="4" w:space="5" w:color="000000"/>
        </w:pBdr>
        <w:spacing w:after="120"/>
        <w:jc w:val="center"/>
        <w:rPr>
          <w:rFonts w:ascii="Tahoma" w:eastAsia="Calibri" w:hAnsi="Tahoma" w:cs="Tahoma"/>
          <w:sz w:val="22"/>
          <w:szCs w:val="22"/>
        </w:rPr>
      </w:pPr>
      <w:r w:rsidRPr="00A12386">
        <w:rPr>
          <w:rFonts w:ascii="Tahoma" w:eastAsia="Calibri" w:hAnsi="Tahoma" w:cs="Tahoma"/>
          <w:b/>
          <w:sz w:val="22"/>
          <w:szCs w:val="22"/>
        </w:rPr>
        <w:lastRenderedPageBreak/>
        <w:t>Áreas de intervenção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ação do Colégio organizar-se-á em torno das seguintes áreas de intervenção: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>Condições do exercício clínico</w:t>
      </w:r>
      <w:r w:rsidRPr="0000391B">
        <w:rPr>
          <w:rFonts w:ascii="Tahoma" w:eastAsia="Calibri" w:hAnsi="Tahoma" w:cs="Tahoma"/>
          <w:sz w:val="20"/>
          <w:szCs w:val="20"/>
        </w:rPr>
        <w:t xml:space="preserve"> – Inclui: monitorização e avaliação das condição de exercício clínico, com prioridade para as situações identificadas como problemáticas. Terá em conta:</w:t>
      </w:r>
    </w:p>
    <w:p w:rsidR="0000391B" w:rsidRPr="0000391B" w:rsidRDefault="0000391B" w:rsidP="0000391B">
      <w:pPr>
        <w:pStyle w:val="Normal1"/>
        <w:numPr>
          <w:ilvl w:val="0"/>
          <w:numId w:val="2"/>
        </w:num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Como é feito o planeamento e gestão previsional de recursos</w:t>
      </w:r>
      <w:r w:rsidRPr="0000391B">
        <w:rPr>
          <w:rFonts w:ascii="Tahoma" w:eastAsia="Calibri" w:hAnsi="Tahoma" w:cs="Tahoma"/>
          <w:sz w:val="20"/>
          <w:szCs w:val="20"/>
        </w:rPr>
        <w:t xml:space="preserve"> - humanos, de instalações e de equipamentos em função das características locais e regionais, bem como das alterações demográficas e consequentes alterações de padrões de prática;</w:t>
      </w:r>
    </w:p>
    <w:p w:rsidR="0000391B" w:rsidRPr="0000391B" w:rsidRDefault="0000391B" w:rsidP="0000391B">
      <w:pPr>
        <w:pStyle w:val="Normal1"/>
        <w:numPr>
          <w:ilvl w:val="0"/>
          <w:numId w:val="2"/>
        </w:numPr>
        <w:spacing w:after="120"/>
        <w:ind w:left="845" w:hanging="357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adequação dos padrões de prática e dos modelos organizacionais</w:t>
      </w:r>
      <w:r w:rsidRPr="0000391B">
        <w:rPr>
          <w:rFonts w:ascii="Tahoma" w:eastAsia="Calibri" w:hAnsi="Tahoma" w:cs="Tahoma"/>
          <w:sz w:val="20"/>
          <w:szCs w:val="20"/>
        </w:rPr>
        <w:t xml:space="preserve"> – em função dos novos desafios, estimulando a evolução para modelos com plasticidade adaptativa às necessidades das comunidades, incluindo flexibilizar as proporções de tempos dedicados a atividade académica, científica, projetos, bem como a possibilidade de optar por tempos parciais, observando um conjunto de princípios e de regras;</w:t>
      </w:r>
    </w:p>
    <w:p w:rsidR="0000391B" w:rsidRPr="0000391B" w:rsidRDefault="0000391B" w:rsidP="0000391B">
      <w:pPr>
        <w:pStyle w:val="Normal1"/>
        <w:numPr>
          <w:ilvl w:val="0"/>
          <w:numId w:val="2"/>
        </w:num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 xml:space="preserve">adequação progressiva da dimensão das listas de utentes (plano a 5 anos) </w:t>
      </w:r>
      <w:r w:rsidRPr="0000391B">
        <w:rPr>
          <w:rFonts w:ascii="Tahoma" w:eastAsia="Calibri" w:hAnsi="Tahoma" w:cs="Tahoma"/>
          <w:sz w:val="20"/>
          <w:szCs w:val="20"/>
        </w:rPr>
        <w:t>– apoiando a ação sindical e da APMGF e atendendo à abrangência e complexidade da MGF, bem como à necessidade de garantir a qualidade do seu exercício;</w:t>
      </w:r>
    </w:p>
    <w:p w:rsidR="0000391B" w:rsidRPr="0000391B" w:rsidRDefault="0000391B" w:rsidP="0000391B">
      <w:pPr>
        <w:pStyle w:val="Normal1"/>
        <w:numPr>
          <w:ilvl w:val="0"/>
          <w:numId w:val="2"/>
        </w:numPr>
        <w:spacing w:after="120"/>
        <w:ind w:left="845" w:hanging="357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sistemas de informação e de apoio à decisão</w:t>
      </w:r>
      <w:r w:rsidRPr="0000391B">
        <w:rPr>
          <w:rFonts w:ascii="Tahoma" w:eastAsia="Calibri" w:hAnsi="Tahoma" w:cs="Tahoma"/>
          <w:sz w:val="20"/>
          <w:szCs w:val="20"/>
        </w:rPr>
        <w:t xml:space="preserve"> – exigência de uma arquitetura adequada dos sistemas e das aplicações informáticas que facilitem e apoiem o raciocínio, a decisão clínica e a gestão da prática – aplicações que apoiem os profissionais e a qualidade dos cuidados aos doentes, em vez de os dificultar e espartilhar;</w:t>
      </w:r>
    </w:p>
    <w:p w:rsidR="0000391B" w:rsidRPr="0000391B" w:rsidRDefault="0000391B" w:rsidP="0000391B">
      <w:pPr>
        <w:pStyle w:val="Normal1"/>
        <w:numPr>
          <w:ilvl w:val="0"/>
          <w:numId w:val="2"/>
        </w:numPr>
        <w:spacing w:after="120"/>
        <w:ind w:left="845" w:hanging="357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 xml:space="preserve">dinâmica de formação médica contínua </w:t>
      </w:r>
      <w:r w:rsidRPr="0000391B">
        <w:rPr>
          <w:rFonts w:ascii="Tahoma" w:eastAsia="Calibri" w:hAnsi="Tahoma" w:cs="Tahoma"/>
          <w:sz w:val="20"/>
          <w:szCs w:val="20"/>
        </w:rPr>
        <w:t>– condição básica para a qualidade da MGF.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 xml:space="preserve">Idoneidade formativa de serviços e unidades e atribuição de capacidades formativas </w:t>
      </w:r>
      <w:r w:rsidRPr="0000391B">
        <w:rPr>
          <w:rFonts w:ascii="Tahoma" w:eastAsia="Calibri" w:hAnsi="Tahoma" w:cs="Tahoma"/>
          <w:sz w:val="20"/>
          <w:szCs w:val="20"/>
        </w:rPr>
        <w:t>– na sequência da área anterior e no cumprimento do estipulado nos artigos 14.º, 15.º e 16.º do Regulamento n.º 628/2016 (DR, 2.ª Série – N.º 128, de 6 de julho de 2016).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>Interação de proximidade</w:t>
      </w:r>
      <w:r w:rsidRPr="0000391B">
        <w:rPr>
          <w:rFonts w:ascii="Tahoma" w:eastAsia="Calibri" w:hAnsi="Tahoma" w:cs="Tahoma"/>
          <w:sz w:val="20"/>
          <w:szCs w:val="20"/>
        </w:rPr>
        <w:t xml:space="preserve"> – visitas estruturadas e planeadas às unidades onde laborem MF, com o contributo de um círculo de colaboradores/delegados do Colégio.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>Situações críticas e apoio personalizado</w:t>
      </w:r>
      <w:r w:rsidRPr="0000391B">
        <w:rPr>
          <w:rFonts w:ascii="Tahoma" w:eastAsia="Calibri" w:hAnsi="Tahoma" w:cs="Tahoma"/>
          <w:sz w:val="20"/>
          <w:szCs w:val="20"/>
        </w:rPr>
        <w:t xml:space="preserve"> – sinalização local de situações de MF em sofrimento psicossocial e com disfuncionalidade graves, ou em risco de tal, mobilizando apoio a estes colegas e prevenindo danos;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>Rede socioprofissional nacional e internacional</w:t>
      </w:r>
      <w:r w:rsidRPr="0000391B">
        <w:rPr>
          <w:rFonts w:ascii="Tahoma" w:eastAsia="Calibri" w:hAnsi="Tahoma" w:cs="Tahoma"/>
          <w:sz w:val="20"/>
          <w:szCs w:val="20"/>
        </w:rPr>
        <w:t xml:space="preserve"> -  promover o valor científico, humano e social da MGF a nível nacional e internacional, e ampliar a efetividade dos mecanismos de influência junto dos decisores políticos, gestionários e da Sociedade;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 xml:space="preserve">Formação e desenvolvimento profissional contínuo dos MF </w:t>
      </w:r>
      <w:r w:rsidRPr="0000391B">
        <w:rPr>
          <w:rFonts w:ascii="Tahoma" w:eastAsia="Calibri" w:hAnsi="Tahoma" w:cs="Tahoma"/>
          <w:sz w:val="20"/>
          <w:szCs w:val="20"/>
        </w:rPr>
        <w:t>– delinear um referencial de ação e de qualidade nesta área, com envolvimento das universidades e de sociedades científicas, de modo a incentivar e a valorizar quem cuide da sua formação contínua;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 xml:space="preserve">Formação pré-graduada e académica em MGF </w:t>
      </w:r>
      <w:r w:rsidRPr="0000391B">
        <w:rPr>
          <w:rFonts w:ascii="Tahoma" w:eastAsia="Calibri" w:hAnsi="Tahoma" w:cs="Tahoma"/>
          <w:sz w:val="20"/>
          <w:szCs w:val="20"/>
        </w:rPr>
        <w:t>– apoio aos departamentos universitários de MGF e lançamento do conceito e de práticas que ligam formação pré-graduada e formação ao longo da vida profissional (conexão com o ponto anterior);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 xml:space="preserve">Formação específica em MGF </w:t>
      </w:r>
      <w:r w:rsidRPr="0000391B">
        <w:rPr>
          <w:rFonts w:ascii="Tahoma" w:eastAsia="Calibri" w:hAnsi="Tahoma" w:cs="Tahoma"/>
          <w:sz w:val="20"/>
          <w:szCs w:val="20"/>
        </w:rPr>
        <w:t>– zelar pelo desenvolvimento do internato da especialidade nas suas várias componentes: cultura formativa; estratégias educacionais e de treino; programa de formação; e avaliação dos contextos e ambientes formativos;</w:t>
      </w: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i/>
          <w:sz w:val="20"/>
          <w:szCs w:val="20"/>
        </w:rPr>
        <w:t xml:space="preserve">Investigação em MGF </w:t>
      </w:r>
      <w:r w:rsidRPr="0000391B">
        <w:rPr>
          <w:rFonts w:ascii="Tahoma" w:eastAsia="Calibri" w:hAnsi="Tahoma" w:cs="Tahoma"/>
          <w:sz w:val="20"/>
          <w:szCs w:val="20"/>
        </w:rPr>
        <w:t>– delinear um referencial de ação e de qualidade nesta área e apoiar a constituição e desenvolvimento de centros de investigação na área da MGF e dos CSP.</w:t>
      </w:r>
    </w:p>
    <w:p w:rsidR="0000391B" w:rsidRPr="0000391B" w:rsidRDefault="0000391B" w:rsidP="0000391B">
      <w:pPr>
        <w:pStyle w:val="Normal1"/>
        <w:jc w:val="center"/>
        <w:rPr>
          <w:rFonts w:ascii="Tahoma" w:eastAsia="Calibri" w:hAnsi="Tahoma" w:cs="Tahoma"/>
          <w:sz w:val="20"/>
          <w:szCs w:val="20"/>
        </w:rPr>
      </w:pPr>
    </w:p>
    <w:p w:rsidR="00A12386" w:rsidRPr="00A12386" w:rsidRDefault="00A12386" w:rsidP="00A12386">
      <w:pPr>
        <w:pStyle w:val="Normal1"/>
        <w:pBdr>
          <w:top w:val="single" w:sz="4" w:space="7" w:color="000000"/>
          <w:left w:val="single" w:sz="4" w:space="5" w:color="000000"/>
          <w:bottom w:val="single" w:sz="4" w:space="7" w:color="000000"/>
          <w:right w:val="single" w:sz="4" w:space="5" w:color="000000"/>
        </w:pBdr>
        <w:spacing w:after="120"/>
        <w:jc w:val="center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Estratégia de a</w:t>
      </w:r>
      <w:r w:rsidRPr="00A12386">
        <w:rPr>
          <w:rFonts w:ascii="Tahoma" w:eastAsia="Calibri" w:hAnsi="Tahoma" w:cs="Tahoma"/>
          <w:b/>
          <w:sz w:val="22"/>
          <w:szCs w:val="22"/>
        </w:rPr>
        <w:t>ção</w:t>
      </w:r>
    </w:p>
    <w:p w:rsidR="00A12386" w:rsidRDefault="00A12386" w:rsidP="0000391B">
      <w:pPr>
        <w:pStyle w:val="Normal1"/>
        <w:spacing w:after="120"/>
        <w:rPr>
          <w:rFonts w:ascii="Tahoma" w:eastAsia="Calibri" w:hAnsi="Tahoma" w:cs="Tahoma"/>
          <w:b/>
          <w:sz w:val="20"/>
          <w:szCs w:val="20"/>
        </w:rPr>
      </w:pPr>
    </w:p>
    <w:p w:rsid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sz w:val="20"/>
          <w:szCs w:val="20"/>
        </w:rPr>
        <w:t>A estratégia escolhida decorre dos princípios: “Proximidade – Profissionalismo – Participação”, que constituem o lema da candidatura. Inclui dois instrumentos essenciais: os “</w:t>
      </w:r>
      <w:r w:rsidRPr="0000391B">
        <w:rPr>
          <w:rFonts w:ascii="Tahoma" w:eastAsia="Calibri" w:hAnsi="Tahoma" w:cs="Tahoma"/>
          <w:b/>
          <w:i/>
          <w:sz w:val="20"/>
          <w:szCs w:val="20"/>
        </w:rPr>
        <w:t>Círculos de Apoio Local</w:t>
      </w:r>
      <w:r w:rsidRPr="0000391B">
        <w:rPr>
          <w:rFonts w:ascii="Tahoma" w:eastAsia="Calibri" w:hAnsi="Tahoma" w:cs="Tahoma"/>
          <w:sz w:val="20"/>
          <w:szCs w:val="20"/>
        </w:rPr>
        <w:t>” e os “</w:t>
      </w:r>
      <w:r w:rsidRPr="0000391B">
        <w:rPr>
          <w:rFonts w:ascii="Tahoma" w:eastAsia="Calibri" w:hAnsi="Tahoma" w:cs="Tahoma"/>
          <w:b/>
          <w:i/>
          <w:sz w:val="20"/>
          <w:szCs w:val="20"/>
        </w:rPr>
        <w:t>Grupos Técnicos Específicos</w:t>
      </w:r>
      <w:r w:rsidRPr="0000391B">
        <w:rPr>
          <w:rFonts w:ascii="Tahoma" w:eastAsia="Calibri" w:hAnsi="Tahoma" w:cs="Tahoma"/>
          <w:sz w:val="20"/>
          <w:szCs w:val="20"/>
        </w:rPr>
        <w:t>”.</w:t>
      </w:r>
    </w:p>
    <w:p w:rsidR="00A12386" w:rsidRPr="0000391B" w:rsidRDefault="00A12386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</w:p>
    <w:p w:rsid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sz w:val="20"/>
          <w:szCs w:val="20"/>
        </w:rPr>
        <w:t xml:space="preserve">Círculos de apoio local (CAL) – </w:t>
      </w:r>
      <w:r w:rsidRPr="0000391B">
        <w:rPr>
          <w:rFonts w:ascii="Tahoma" w:eastAsia="Calibri" w:hAnsi="Tahoma" w:cs="Tahoma"/>
          <w:sz w:val="20"/>
          <w:szCs w:val="20"/>
        </w:rPr>
        <w:t xml:space="preserve">grupos locais (3 a 5 MF), colaboradores da direção do Colégio, que atuam como seus delegados e permitem maior proximidade e apoio aos colegas a laborar em unidades do SNS ou dos setores social e privado. São organizados em colaboração com os órgãos dirigentes regionais e distritais da Ordem dos Médicos. A ação destes círculos será enquadrada e orientada por Termos de Referência previamente delineados e aprovados e regularmente revistos e aperfeiçoados. </w:t>
      </w:r>
    </w:p>
    <w:p w:rsidR="00A12386" w:rsidRPr="0000391B" w:rsidRDefault="00A12386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</w:p>
    <w:p w:rsidR="0000391B" w:rsidRPr="0000391B" w:rsidRDefault="0000391B" w:rsidP="0000391B">
      <w:pPr>
        <w:pStyle w:val="Normal1"/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b/>
          <w:sz w:val="20"/>
          <w:szCs w:val="20"/>
        </w:rPr>
        <w:t xml:space="preserve">Grupos técnicos específicos (GTE) </w:t>
      </w:r>
      <w:r w:rsidRPr="0000391B">
        <w:rPr>
          <w:rFonts w:ascii="Tahoma" w:eastAsia="Calibri" w:hAnsi="Tahoma" w:cs="Tahoma"/>
          <w:sz w:val="20"/>
          <w:szCs w:val="20"/>
        </w:rPr>
        <w:t>– grupos de âmbito nacional (5 a 7 MF de várias SR da OM) que estudam e aconselham a Direção do Colégio sobre questões específicas.  Produzem documentos de referência e propostas de posições do Colégio sobre questões, tais como: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 xml:space="preserve">Condições de trabalho e idoneidades formativas 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 xml:space="preserve">MGF - inovação e qualidade </w:t>
      </w:r>
      <w:r w:rsidRPr="0000391B">
        <w:rPr>
          <w:rFonts w:ascii="Tahoma" w:eastAsia="Calibri" w:hAnsi="Tahoma" w:cs="Tahoma"/>
          <w:sz w:val="20"/>
          <w:szCs w:val="20"/>
        </w:rPr>
        <w:t xml:space="preserve">(com prioridade à adequação da </w:t>
      </w:r>
      <w:r w:rsidR="00A12386">
        <w:rPr>
          <w:rFonts w:ascii="Tahoma" w:eastAsia="Calibri" w:hAnsi="Tahoma" w:cs="Tahoma"/>
          <w:sz w:val="20"/>
          <w:szCs w:val="20"/>
        </w:rPr>
        <w:t>dimensão das listas de utentes à</w:t>
      </w:r>
      <w:r w:rsidRPr="0000391B">
        <w:rPr>
          <w:rFonts w:ascii="Tahoma" w:eastAsia="Calibri" w:hAnsi="Tahoma" w:cs="Tahoma"/>
          <w:sz w:val="20"/>
          <w:szCs w:val="20"/>
        </w:rPr>
        <w:t xml:space="preserve">s necessidades estimadas de cuidados / ciclo de vida / pessoa / situação de saúde/ contextos </w:t>
      </w:r>
      <w:r w:rsidRPr="0000391B">
        <w:rPr>
          <w:rFonts w:ascii="Tahoma" w:eastAsia="Calibri" w:hAnsi="Tahoma" w:cs="Tahoma"/>
          <w:b/>
          <w:sz w:val="20"/>
          <w:szCs w:val="20"/>
        </w:rPr>
        <w:t xml:space="preserve">X </w:t>
      </w:r>
      <w:r w:rsidRPr="0000391B">
        <w:rPr>
          <w:rFonts w:ascii="Tahoma" w:eastAsia="Calibri" w:hAnsi="Tahoma" w:cs="Tahoma"/>
          <w:sz w:val="20"/>
          <w:szCs w:val="20"/>
        </w:rPr>
        <w:t>tempos estimados de execução de atividades e atos médicos)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Desenvolvimento organizacional, contratualização e ética médica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Internato MGF e incentivo e apoio à formação de orientadores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Desenvolvimento profissional contínuo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Literacia, autonomia e capacitação do doente / cidadão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Investigação – incentivo e apoio à constituição de centros e de redes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Auditorias clínicas – metodologia, formação e preparação e partilha de exemplos</w:t>
      </w:r>
    </w:p>
    <w:p w:rsidR="0000391B" w:rsidRPr="0000391B" w:rsidRDefault="0000391B" w:rsidP="00A12386">
      <w:pPr>
        <w:pStyle w:val="Normal1"/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0"/>
          <w:szCs w:val="20"/>
        </w:rPr>
      </w:pPr>
      <w:r w:rsidRPr="0000391B">
        <w:rPr>
          <w:rFonts w:ascii="Tahoma" w:eastAsia="Calibri" w:hAnsi="Tahoma" w:cs="Tahoma"/>
          <w:i/>
          <w:sz w:val="20"/>
          <w:szCs w:val="20"/>
        </w:rPr>
        <w:t>Sistemas de informação de apoio ao raciocínio e à decisão clínica</w:t>
      </w:r>
    </w:p>
    <w:p w:rsidR="00A50D47" w:rsidRPr="0000391B" w:rsidRDefault="00A50D47" w:rsidP="0000391B">
      <w:pPr>
        <w:jc w:val="center"/>
        <w:rPr>
          <w:rFonts w:ascii="Tahoma" w:hAnsi="Tahoma" w:cs="Tahoma"/>
          <w:sz w:val="20"/>
          <w:szCs w:val="20"/>
          <w:lang w:val="pt-PT"/>
        </w:rPr>
      </w:pPr>
    </w:p>
    <w:sectPr w:rsidR="00A50D47" w:rsidRPr="0000391B" w:rsidSect="00AA74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F9" w:rsidRDefault="006D2CF9" w:rsidP="00A50D47">
      <w:r>
        <w:separator/>
      </w:r>
    </w:p>
  </w:endnote>
  <w:endnote w:type="continuationSeparator" w:id="0">
    <w:p w:rsidR="006D2CF9" w:rsidRDefault="006D2CF9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00391B" w:rsidRDefault="005B6A47">
        <w:pPr>
          <w:pStyle w:val="Rodap"/>
          <w:jc w:val="right"/>
        </w:pPr>
        <w:r>
          <w:fldChar w:fldCharType="begin"/>
        </w:r>
        <w:r w:rsidR="006D2CF9">
          <w:instrText xml:space="preserve"> PAGE   \* MERGEFORMAT </w:instrText>
        </w:r>
        <w:r>
          <w:fldChar w:fldCharType="separate"/>
        </w:r>
        <w:r w:rsidR="008237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391B" w:rsidRDefault="000039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F9" w:rsidRDefault="006D2CF9" w:rsidP="00A50D47">
      <w:r>
        <w:separator/>
      </w:r>
    </w:p>
  </w:footnote>
  <w:footnote w:type="continuationSeparator" w:id="0">
    <w:p w:rsidR="006D2CF9" w:rsidRDefault="006D2CF9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1B" w:rsidRPr="00C52759" w:rsidRDefault="0000391B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00391B" w:rsidRPr="004D34E7" w:rsidRDefault="0000391B" w:rsidP="00A50D47">
    <w:pPr>
      <w:pStyle w:val="tagline"/>
      <w:rPr>
        <w:lang w:val="pt-PT"/>
      </w:rPr>
    </w:pPr>
  </w:p>
  <w:p w:rsidR="0000391B" w:rsidRDefault="0000391B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GERAL E FAMILIAR</w:t>
    </w:r>
  </w:p>
  <w:p w:rsidR="0000391B" w:rsidRDefault="0000391B" w:rsidP="00250295">
    <w:pPr>
      <w:pStyle w:val="tagline"/>
      <w:rPr>
        <w:lang w:val="pt-PT"/>
      </w:rPr>
    </w:pPr>
  </w:p>
  <w:p w:rsidR="0000391B" w:rsidRPr="0067725A" w:rsidRDefault="0000391B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67E"/>
    <w:multiLevelType w:val="multilevel"/>
    <w:tmpl w:val="6D4A43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46E01DA"/>
    <w:multiLevelType w:val="multilevel"/>
    <w:tmpl w:val="E444993E"/>
    <w:lvl w:ilvl="0">
      <w:start w:val="1"/>
      <w:numFmt w:val="lowerLetter"/>
      <w:lvlText w:val="%1)"/>
      <w:lvlJc w:val="left"/>
      <w:pPr>
        <w:ind w:left="846" w:hanging="360"/>
      </w:pPr>
      <w:rPr>
        <w:vertAlign w:val="baseline"/>
      </w:rPr>
    </w:lvl>
    <w:lvl w:ilvl="1">
      <w:numFmt w:val="bullet"/>
      <w:lvlText w:val="-"/>
      <w:lvlJc w:val="left"/>
      <w:pPr>
        <w:ind w:left="1566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vertAlign w:val="baseline"/>
      </w:rPr>
    </w:lvl>
  </w:abstractNum>
  <w:abstractNum w:abstractNumId="2">
    <w:nsid w:val="175F5D25"/>
    <w:multiLevelType w:val="multilevel"/>
    <w:tmpl w:val="391A27AA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21E3263"/>
    <w:multiLevelType w:val="multilevel"/>
    <w:tmpl w:val="64301AF8"/>
    <w:lvl w:ilvl="0">
      <w:start w:val="1"/>
      <w:numFmt w:val="bullet"/>
      <w:lvlText w:val="✓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391B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B65D8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27BE3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06902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E76E5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450D5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B6A47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2CF9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37E6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12386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15071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134E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827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04F8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B3EC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Normal1">
    <w:name w:val="Normal1"/>
    <w:rsid w:val="000039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Normal1">
    <w:name w:val="Normal1"/>
    <w:rsid w:val="000039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f3p.webnode.p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2</cp:revision>
  <cp:lastPrinted>2017-10-29T17:11:00Z</cp:lastPrinted>
  <dcterms:created xsi:type="dcterms:W3CDTF">2017-10-30T10:56:00Z</dcterms:created>
  <dcterms:modified xsi:type="dcterms:W3CDTF">2017-10-30T10:56:00Z</dcterms:modified>
</cp:coreProperties>
</file>