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D338" w14:textId="77777777" w:rsidR="006B270C" w:rsidRPr="006B270C" w:rsidRDefault="006B270C" w:rsidP="006B270C">
      <w:pPr>
        <w:spacing w:line="360" w:lineRule="auto"/>
        <w:ind w:left="45"/>
        <w:jc w:val="both"/>
        <w:rPr>
          <w:lang w:val="pt-PT"/>
        </w:rPr>
      </w:pPr>
    </w:p>
    <w:p w14:paraId="1B0EF140" w14:textId="77777777" w:rsidR="006B270C" w:rsidRPr="006B270C" w:rsidRDefault="006B270C" w:rsidP="006B270C">
      <w:pPr>
        <w:spacing w:line="360" w:lineRule="auto"/>
        <w:jc w:val="both"/>
        <w:rPr>
          <w:lang w:val="pt-PT"/>
        </w:rPr>
      </w:pPr>
      <w:r w:rsidRPr="006B270C">
        <w:rPr>
          <w:rFonts w:eastAsia="Calibri"/>
          <w:lang w:val="pt-PT"/>
        </w:rPr>
        <w:t xml:space="preserve"> </w:t>
      </w:r>
    </w:p>
    <w:p w14:paraId="2749D8ED" w14:textId="77777777" w:rsidR="006B270C" w:rsidRPr="006B270C" w:rsidRDefault="006B270C" w:rsidP="006B270C">
      <w:pPr>
        <w:spacing w:line="360" w:lineRule="auto"/>
        <w:jc w:val="both"/>
        <w:rPr>
          <w:lang w:val="pt-PT"/>
        </w:rPr>
      </w:pPr>
      <w:r w:rsidRPr="006B270C">
        <w:rPr>
          <w:lang w:val="pt-PT"/>
        </w:rPr>
        <w:t xml:space="preserve"> </w:t>
      </w:r>
    </w:p>
    <w:p w14:paraId="5713CA2C" w14:textId="48C4A43F" w:rsidR="006B270C" w:rsidRPr="006B270C" w:rsidRDefault="006B270C" w:rsidP="00E25518">
      <w:pPr>
        <w:pStyle w:val="Ttulo2"/>
        <w:spacing w:before="0" w:after="0" w:line="360" w:lineRule="auto"/>
        <w:jc w:val="both"/>
        <w:rPr>
          <w:b/>
          <w:bCs/>
          <w:sz w:val="22"/>
          <w:szCs w:val="22"/>
          <w:lang w:val="pt-PT"/>
        </w:rPr>
      </w:pPr>
      <w:bookmarkStart w:id="0" w:name="_Toc38793"/>
      <w:r w:rsidRPr="006B270C">
        <w:rPr>
          <w:b/>
          <w:bCs/>
          <w:sz w:val="22"/>
          <w:szCs w:val="22"/>
          <w:lang w:val="pt-PT"/>
        </w:rPr>
        <w:t xml:space="preserve">Titulação na subespecialidade de Pediatria do </w:t>
      </w:r>
      <w:proofErr w:type="spellStart"/>
      <w:r w:rsidRPr="006B270C">
        <w:rPr>
          <w:b/>
          <w:bCs/>
          <w:sz w:val="22"/>
          <w:szCs w:val="22"/>
          <w:lang w:val="pt-PT"/>
        </w:rPr>
        <w:t>Neurodesenvolvimento</w:t>
      </w:r>
      <w:proofErr w:type="spellEnd"/>
      <w:r w:rsidRPr="006B270C">
        <w:rPr>
          <w:b/>
          <w:bCs/>
          <w:sz w:val="22"/>
          <w:szCs w:val="22"/>
          <w:lang w:val="pt-PT"/>
        </w:rPr>
        <w:t xml:space="preserve"> por consenso, fora do processo formativo de Ciclo de Estudos Especiais </w:t>
      </w:r>
      <w:bookmarkEnd w:id="0"/>
    </w:p>
    <w:p w14:paraId="37C2D726" w14:textId="77777777" w:rsidR="006B270C" w:rsidRPr="006B270C" w:rsidRDefault="006B270C" w:rsidP="006B270C">
      <w:pPr>
        <w:pStyle w:val="PargrafodaLista"/>
        <w:ind w:left="715"/>
        <w:rPr>
          <w:lang w:val="pt-PT"/>
        </w:rPr>
      </w:pPr>
    </w:p>
    <w:p w14:paraId="063AC57B" w14:textId="22FC2614" w:rsidR="006B270C" w:rsidRPr="006B270C" w:rsidRDefault="006B270C" w:rsidP="006B270C">
      <w:pPr>
        <w:spacing w:line="360" w:lineRule="auto"/>
        <w:ind w:left="-5"/>
        <w:jc w:val="both"/>
        <w:rPr>
          <w:lang w:val="pt-PT"/>
        </w:rPr>
      </w:pPr>
      <w:r w:rsidRPr="006B270C">
        <w:rPr>
          <w:lang w:val="pt-PT"/>
        </w:rPr>
        <w:t xml:space="preserve">Para além da frequência do Ciclo de Estudos Especiais em Pediatria do </w:t>
      </w:r>
      <w:proofErr w:type="spellStart"/>
      <w:r w:rsidRPr="006B270C">
        <w:rPr>
          <w:lang w:val="pt-PT"/>
        </w:rPr>
        <w:t>Neurodesenvolvimento</w:t>
      </w:r>
      <w:proofErr w:type="spellEnd"/>
      <w:r w:rsidRPr="006B270C">
        <w:rPr>
          <w:lang w:val="pt-PT"/>
        </w:rPr>
        <w:t xml:space="preserve">, a titulação na subespecialidade de Pediatria do </w:t>
      </w:r>
      <w:proofErr w:type="spellStart"/>
      <w:r w:rsidRPr="006B270C">
        <w:rPr>
          <w:lang w:val="pt-PT"/>
        </w:rPr>
        <w:t>Neurodesenvolvimento</w:t>
      </w:r>
      <w:proofErr w:type="spellEnd"/>
      <w:r w:rsidRPr="006B270C">
        <w:rPr>
          <w:lang w:val="pt-PT"/>
        </w:rPr>
        <w:t xml:space="preserve"> poderá ser obtida por via de equiparação. Esta deverá ser obtida por consenso, através de avaliação curricular por um júri composto por três elementos com esta subespecialidade, que aprecie o cumprimento dos seguintes critérios curriculares: </w:t>
      </w:r>
    </w:p>
    <w:p w14:paraId="17B6B975" w14:textId="77777777" w:rsidR="006B270C" w:rsidRPr="006B270C" w:rsidRDefault="006B270C" w:rsidP="006B270C">
      <w:pPr>
        <w:numPr>
          <w:ilvl w:val="0"/>
          <w:numId w:val="4"/>
        </w:numPr>
        <w:spacing w:line="360" w:lineRule="auto"/>
        <w:ind w:hanging="320"/>
        <w:jc w:val="both"/>
        <w:rPr>
          <w:lang w:val="pt-PT"/>
        </w:rPr>
      </w:pPr>
      <w:r w:rsidRPr="006B270C">
        <w:rPr>
          <w:lang w:val="pt-PT"/>
        </w:rPr>
        <w:t xml:space="preserve">Grau de </w:t>
      </w:r>
      <w:r w:rsidRPr="006B270C">
        <w:rPr>
          <w:rFonts w:eastAsia="Calibri"/>
          <w:b/>
          <w:lang w:val="pt-PT"/>
        </w:rPr>
        <w:t>Especialista em Pediatria</w:t>
      </w:r>
      <w:r w:rsidRPr="006B270C">
        <w:rPr>
          <w:lang w:val="pt-PT"/>
        </w:rPr>
        <w:t xml:space="preserve">. </w:t>
      </w:r>
    </w:p>
    <w:p w14:paraId="57F572B4" w14:textId="77777777" w:rsidR="006B270C" w:rsidRPr="006B270C" w:rsidRDefault="006B270C" w:rsidP="006B270C">
      <w:pPr>
        <w:numPr>
          <w:ilvl w:val="0"/>
          <w:numId w:val="4"/>
        </w:numPr>
        <w:spacing w:line="360" w:lineRule="auto"/>
        <w:ind w:hanging="320"/>
        <w:jc w:val="both"/>
        <w:rPr>
          <w:lang w:val="pt-PT"/>
        </w:rPr>
      </w:pPr>
      <w:r w:rsidRPr="006B270C">
        <w:rPr>
          <w:rFonts w:eastAsia="Calibri"/>
          <w:b/>
          <w:lang w:val="pt-PT"/>
        </w:rPr>
        <w:t>Experiência assistencial relevante</w:t>
      </w:r>
      <w:r w:rsidRPr="006B270C">
        <w:rPr>
          <w:lang w:val="pt-PT"/>
        </w:rPr>
        <w:t xml:space="preserve"> na área do </w:t>
      </w:r>
      <w:proofErr w:type="spellStart"/>
      <w:r w:rsidRPr="006B270C">
        <w:rPr>
          <w:lang w:val="pt-PT"/>
        </w:rPr>
        <w:t>neurodesenvolvimento</w:t>
      </w:r>
      <w:proofErr w:type="spellEnd"/>
      <w:r w:rsidRPr="006B270C">
        <w:rPr>
          <w:lang w:val="pt-PT"/>
        </w:rPr>
        <w:t xml:space="preserve"> por um </w:t>
      </w:r>
      <w:r w:rsidRPr="006B270C">
        <w:rPr>
          <w:rFonts w:eastAsia="Calibri"/>
          <w:b/>
          <w:lang w:val="pt-PT"/>
        </w:rPr>
        <w:t>período mínimo de cinco anos</w:t>
      </w:r>
      <w:r w:rsidRPr="006B270C">
        <w:rPr>
          <w:lang w:val="pt-PT"/>
        </w:rPr>
        <w:t xml:space="preserve"> como especialista em Pediatria:  </w:t>
      </w:r>
    </w:p>
    <w:p w14:paraId="7E3E3BE1" w14:textId="77777777" w:rsidR="006B270C" w:rsidRPr="006B270C" w:rsidRDefault="006B270C" w:rsidP="006B270C">
      <w:pPr>
        <w:numPr>
          <w:ilvl w:val="1"/>
          <w:numId w:val="4"/>
        </w:numPr>
        <w:spacing w:line="360" w:lineRule="auto"/>
        <w:ind w:hanging="246"/>
        <w:jc w:val="both"/>
        <w:rPr>
          <w:lang w:val="pt-PT"/>
        </w:rPr>
      </w:pPr>
      <w:r w:rsidRPr="006B270C">
        <w:rPr>
          <w:lang w:val="pt-PT"/>
        </w:rPr>
        <w:t xml:space="preserve">Considera-se relevante a experiência assistencial, desde que esteja integrada num serviço/unidade de reconhecido mérito, com consultas de </w:t>
      </w:r>
      <w:proofErr w:type="spellStart"/>
      <w:r w:rsidRPr="006B270C">
        <w:rPr>
          <w:lang w:val="pt-PT"/>
        </w:rPr>
        <w:t>neurodesenvolvimento</w:t>
      </w:r>
      <w:proofErr w:type="spellEnd"/>
      <w:r w:rsidRPr="006B270C">
        <w:rPr>
          <w:lang w:val="pt-PT"/>
        </w:rPr>
        <w:t xml:space="preserve"> diferenciadas e já oficialmente instituídas, que englobem todo o grupo etário pediátrico e toda a patologia </w:t>
      </w:r>
      <w:proofErr w:type="spellStart"/>
      <w:r w:rsidRPr="006B270C">
        <w:rPr>
          <w:lang w:val="pt-PT"/>
        </w:rPr>
        <w:t>neurodesenvolvimental</w:t>
      </w:r>
      <w:proofErr w:type="spellEnd"/>
      <w:r w:rsidRPr="006B270C">
        <w:rPr>
          <w:lang w:val="pt-PT"/>
        </w:rPr>
        <w:t xml:space="preserve">, com pelo menos dois especialistas dedicados a esta subespecialidade.  </w:t>
      </w:r>
    </w:p>
    <w:p w14:paraId="348C146F" w14:textId="77777777" w:rsidR="006B270C" w:rsidRPr="006B270C" w:rsidRDefault="006B270C" w:rsidP="006B270C">
      <w:pPr>
        <w:numPr>
          <w:ilvl w:val="1"/>
          <w:numId w:val="4"/>
        </w:numPr>
        <w:spacing w:line="360" w:lineRule="auto"/>
        <w:ind w:hanging="246"/>
        <w:jc w:val="both"/>
        <w:rPr>
          <w:lang w:val="pt-PT"/>
        </w:rPr>
      </w:pPr>
      <w:r w:rsidRPr="006B270C">
        <w:rPr>
          <w:lang w:val="pt-PT"/>
        </w:rPr>
        <w:t xml:space="preserve">Dos dois especialistas referidos no ponto i., um terá de se dedicar a esta atividade durante pelo menos 20 horas por semana. </w:t>
      </w:r>
    </w:p>
    <w:p w14:paraId="7CF8BD2A" w14:textId="77777777" w:rsidR="006B270C" w:rsidRPr="006B270C" w:rsidRDefault="006B270C" w:rsidP="006B270C">
      <w:pPr>
        <w:numPr>
          <w:ilvl w:val="1"/>
          <w:numId w:val="4"/>
        </w:numPr>
        <w:spacing w:line="360" w:lineRule="auto"/>
        <w:ind w:hanging="246"/>
        <w:jc w:val="both"/>
        <w:rPr>
          <w:lang w:val="pt-PT"/>
        </w:rPr>
      </w:pPr>
      <w:r w:rsidRPr="006B270C">
        <w:rPr>
          <w:lang w:val="pt-PT"/>
        </w:rPr>
        <w:t xml:space="preserve">O candidato/a que se proponha à atribuição de equiparação da subespecialidade de Pediatria do </w:t>
      </w:r>
      <w:proofErr w:type="spellStart"/>
      <w:r w:rsidRPr="006B270C">
        <w:rPr>
          <w:lang w:val="pt-PT"/>
        </w:rPr>
        <w:t>Neurodesenvolvimento</w:t>
      </w:r>
      <w:proofErr w:type="spellEnd"/>
      <w:r w:rsidRPr="006B270C">
        <w:rPr>
          <w:lang w:val="pt-PT"/>
        </w:rPr>
        <w:t xml:space="preserve"> deve apresentar no mínimo um </w:t>
      </w:r>
      <w:r w:rsidRPr="006B270C">
        <w:rPr>
          <w:rFonts w:eastAsia="Calibri"/>
          <w:b/>
          <w:lang w:val="pt-PT"/>
        </w:rPr>
        <w:t xml:space="preserve">movimento assistencial pessoal de 2.500 consultas desta área, das quais pelo menos 350 são primeiras. </w:t>
      </w:r>
    </w:p>
    <w:p w14:paraId="18B703C8" w14:textId="77777777" w:rsidR="006B270C" w:rsidRDefault="006B270C" w:rsidP="006B270C">
      <w:pPr>
        <w:numPr>
          <w:ilvl w:val="0"/>
          <w:numId w:val="4"/>
        </w:numPr>
        <w:spacing w:line="360" w:lineRule="auto"/>
        <w:ind w:hanging="320"/>
        <w:jc w:val="both"/>
        <w:rPr>
          <w:lang w:val="pt-PT"/>
        </w:rPr>
      </w:pPr>
      <w:r w:rsidRPr="006B270C">
        <w:rPr>
          <w:lang w:val="pt-PT"/>
        </w:rPr>
        <w:t xml:space="preserve">Na </w:t>
      </w:r>
      <w:r w:rsidRPr="006B270C">
        <w:rPr>
          <w:rFonts w:eastAsia="Calibri"/>
          <w:b/>
          <w:lang w:val="pt-PT"/>
        </w:rPr>
        <w:t>atividade formativa</w:t>
      </w:r>
      <w:r w:rsidRPr="006B270C">
        <w:rPr>
          <w:lang w:val="pt-PT"/>
        </w:rPr>
        <w:t xml:space="preserve"> considera-se como requisito mínimo a colaboração como </w:t>
      </w:r>
      <w:r w:rsidRPr="006B270C">
        <w:rPr>
          <w:rFonts w:eastAsia="Calibri"/>
          <w:b/>
          <w:lang w:val="pt-PT"/>
        </w:rPr>
        <w:t>formador e organizador</w:t>
      </w:r>
      <w:r w:rsidRPr="006B270C">
        <w:rPr>
          <w:lang w:val="pt-PT"/>
        </w:rPr>
        <w:t xml:space="preserve"> desta área específica em pelo menos </w:t>
      </w:r>
      <w:r w:rsidRPr="006B270C">
        <w:rPr>
          <w:rFonts w:eastAsia="Calibri"/>
          <w:b/>
          <w:lang w:val="pt-PT"/>
        </w:rPr>
        <w:t>quatro reuniões científicas</w:t>
      </w:r>
      <w:r w:rsidRPr="006B270C">
        <w:rPr>
          <w:lang w:val="pt-PT"/>
        </w:rPr>
        <w:t xml:space="preserve"> e </w:t>
      </w:r>
      <w:r w:rsidRPr="006B270C">
        <w:rPr>
          <w:rFonts w:eastAsia="Calibri"/>
          <w:b/>
          <w:lang w:val="pt-PT"/>
        </w:rPr>
        <w:t>apresentação oral de dez trabalhos</w:t>
      </w:r>
      <w:r w:rsidRPr="006B270C">
        <w:rPr>
          <w:lang w:val="pt-PT"/>
        </w:rPr>
        <w:t>.</w:t>
      </w:r>
      <w:r w:rsidRPr="006B270C">
        <w:rPr>
          <w:rFonts w:eastAsia="Calibri"/>
          <w:b/>
          <w:lang w:val="pt-PT"/>
        </w:rPr>
        <w:t xml:space="preserve"> </w:t>
      </w:r>
    </w:p>
    <w:p w14:paraId="0DE21538" w14:textId="4018CD3F" w:rsidR="006B270C" w:rsidRPr="006B270C" w:rsidRDefault="006B270C" w:rsidP="006B270C">
      <w:pPr>
        <w:numPr>
          <w:ilvl w:val="0"/>
          <w:numId w:val="4"/>
        </w:numPr>
        <w:spacing w:line="360" w:lineRule="auto"/>
        <w:ind w:hanging="320"/>
        <w:jc w:val="both"/>
        <w:rPr>
          <w:lang w:val="pt-PT"/>
        </w:rPr>
      </w:pPr>
      <w:r w:rsidRPr="006B270C">
        <w:rPr>
          <w:lang w:val="pt-PT"/>
        </w:rPr>
        <w:t xml:space="preserve">Na </w:t>
      </w:r>
      <w:r w:rsidRPr="006B270C">
        <w:rPr>
          <w:rFonts w:eastAsia="Calibri"/>
          <w:b/>
          <w:lang w:val="pt-PT"/>
        </w:rPr>
        <w:t>atividade científica</w:t>
      </w:r>
      <w:r w:rsidRPr="006B270C">
        <w:rPr>
          <w:lang w:val="pt-PT"/>
        </w:rPr>
        <w:t xml:space="preserve"> considera-se como requisito a publicação de pelo menos </w:t>
      </w:r>
      <w:r w:rsidRPr="006B270C">
        <w:rPr>
          <w:rFonts w:eastAsia="Calibri"/>
          <w:b/>
          <w:lang w:val="pt-PT"/>
        </w:rPr>
        <w:t>seis artigos</w:t>
      </w:r>
      <w:r w:rsidRPr="006B270C">
        <w:rPr>
          <w:lang w:val="pt-PT"/>
        </w:rPr>
        <w:t xml:space="preserve"> </w:t>
      </w:r>
      <w:r w:rsidRPr="006B270C">
        <w:rPr>
          <w:rFonts w:eastAsia="Calibri"/>
          <w:b/>
          <w:lang w:val="pt-PT"/>
        </w:rPr>
        <w:t>com temas deste âmbito</w:t>
      </w:r>
      <w:r w:rsidRPr="006B270C">
        <w:rPr>
          <w:lang w:val="pt-PT"/>
        </w:rPr>
        <w:t xml:space="preserve"> em revistas com arbitragem científica ou livros/capítulos de livros, sendo primeiro ou último autor em pelo menos metade</w:t>
      </w:r>
      <w:r>
        <w:rPr>
          <w:lang w:val="pt-PT"/>
        </w:rPr>
        <w:t>.</w:t>
      </w:r>
    </w:p>
    <w:p w14:paraId="0EF559F2" w14:textId="77777777" w:rsidR="006B270C" w:rsidRPr="006B270C" w:rsidRDefault="006B270C" w:rsidP="006B270C">
      <w:pPr>
        <w:spacing w:line="360" w:lineRule="auto"/>
        <w:ind w:left="-6"/>
        <w:jc w:val="both"/>
        <w:rPr>
          <w:lang w:val="pt-PT"/>
        </w:rPr>
      </w:pPr>
    </w:p>
    <w:p w14:paraId="0ACA5447" w14:textId="77777777" w:rsidR="006B270C" w:rsidRPr="006B270C" w:rsidRDefault="006B270C" w:rsidP="006B270C">
      <w:pPr>
        <w:spacing w:line="360" w:lineRule="auto"/>
        <w:ind w:left="-6"/>
        <w:jc w:val="both"/>
        <w:rPr>
          <w:lang w:val="pt-PT"/>
        </w:rPr>
      </w:pPr>
    </w:p>
    <w:p w14:paraId="6E0B3B5B" w14:textId="77777777" w:rsidR="006B270C" w:rsidRPr="006B270C" w:rsidRDefault="006B270C" w:rsidP="006B270C">
      <w:pPr>
        <w:spacing w:line="360" w:lineRule="auto"/>
        <w:ind w:left="-6"/>
        <w:jc w:val="both"/>
        <w:rPr>
          <w:lang w:val="pt-PT"/>
        </w:rPr>
      </w:pPr>
    </w:p>
    <w:sectPr w:rsidR="006B270C" w:rsidRPr="006B270C">
      <w:head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515E0" w14:textId="77777777" w:rsidR="005814A1" w:rsidRDefault="005814A1">
      <w:pPr>
        <w:spacing w:line="240" w:lineRule="auto"/>
      </w:pPr>
      <w:r>
        <w:separator/>
      </w:r>
    </w:p>
  </w:endnote>
  <w:endnote w:type="continuationSeparator" w:id="0">
    <w:p w14:paraId="53453F5F" w14:textId="77777777" w:rsidR="005814A1" w:rsidRDefault="00581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B63AC" w14:textId="77777777" w:rsidR="005814A1" w:rsidRDefault="005814A1">
      <w:pPr>
        <w:spacing w:line="240" w:lineRule="auto"/>
      </w:pPr>
      <w:r>
        <w:separator/>
      </w:r>
    </w:p>
  </w:footnote>
  <w:footnote w:type="continuationSeparator" w:id="0">
    <w:p w14:paraId="28A6FB8D" w14:textId="77777777" w:rsidR="005814A1" w:rsidRDefault="00581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06" w14:textId="5B47BD38" w:rsidR="004D3765" w:rsidRDefault="00000000">
    <w:r>
      <w:pict w14:anchorId="1269D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72.5pt;margin-top:-72.55pt;width:596.35pt;height:843.15pt;z-index:-251658752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92864"/>
    <w:multiLevelType w:val="hybridMultilevel"/>
    <w:tmpl w:val="82987EA2"/>
    <w:lvl w:ilvl="0" w:tplc="8B28250A">
      <w:start w:val="1"/>
      <w:numFmt w:val="lowerLetter"/>
      <w:lvlText w:val="%1)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64D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CA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058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4D5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2EF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5E86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E3D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EC1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DF0D00"/>
    <w:multiLevelType w:val="hybridMultilevel"/>
    <w:tmpl w:val="F64C7632"/>
    <w:lvl w:ilvl="0" w:tplc="FE12A75E">
      <w:start w:val="1"/>
      <w:numFmt w:val="lowerRoman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053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263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A39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0E7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2AA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405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EB0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EA03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9220A6"/>
    <w:multiLevelType w:val="hybridMultilevel"/>
    <w:tmpl w:val="7848E9E0"/>
    <w:lvl w:ilvl="0" w:tplc="E8FCBB88">
      <w:start w:val="1"/>
      <w:numFmt w:val="decimal"/>
      <w:lvlText w:val="%1."/>
      <w:lvlJc w:val="left"/>
      <w:pPr>
        <w:ind w:left="380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2AECA">
      <w:start w:val="1"/>
      <w:numFmt w:val="lowerLetter"/>
      <w:lvlText w:val="%2"/>
      <w:lvlJc w:val="left"/>
      <w:pPr>
        <w:ind w:left="1131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0E7002">
      <w:start w:val="1"/>
      <w:numFmt w:val="lowerRoman"/>
      <w:lvlText w:val="%3"/>
      <w:lvlJc w:val="left"/>
      <w:pPr>
        <w:ind w:left="1851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3CAF0E">
      <w:start w:val="1"/>
      <w:numFmt w:val="decimal"/>
      <w:lvlText w:val="%4"/>
      <w:lvlJc w:val="left"/>
      <w:pPr>
        <w:ind w:left="2571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F61A1E">
      <w:start w:val="1"/>
      <w:numFmt w:val="lowerLetter"/>
      <w:lvlText w:val="%5"/>
      <w:lvlJc w:val="left"/>
      <w:pPr>
        <w:ind w:left="3291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F6DBEA">
      <w:start w:val="1"/>
      <w:numFmt w:val="lowerRoman"/>
      <w:lvlText w:val="%6"/>
      <w:lvlJc w:val="left"/>
      <w:pPr>
        <w:ind w:left="4011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243F0">
      <w:start w:val="1"/>
      <w:numFmt w:val="decimal"/>
      <w:lvlText w:val="%7"/>
      <w:lvlJc w:val="left"/>
      <w:pPr>
        <w:ind w:left="4731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CA9F64">
      <w:start w:val="1"/>
      <w:numFmt w:val="lowerLetter"/>
      <w:lvlText w:val="%8"/>
      <w:lvlJc w:val="left"/>
      <w:pPr>
        <w:ind w:left="5451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6632B8">
      <w:start w:val="1"/>
      <w:numFmt w:val="lowerRoman"/>
      <w:lvlText w:val="%9"/>
      <w:lvlJc w:val="left"/>
      <w:pPr>
        <w:ind w:left="6171"/>
      </w:pPr>
      <w:rPr>
        <w:rFonts w:ascii="Segoe UI" w:eastAsia="Segoe UI" w:hAnsi="Segoe UI" w:cs="Segoe U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AC1320"/>
    <w:multiLevelType w:val="hybridMultilevel"/>
    <w:tmpl w:val="BACCA462"/>
    <w:lvl w:ilvl="0" w:tplc="D4D808CE">
      <w:start w:val="1"/>
      <w:numFmt w:val="lowerLetter"/>
      <w:lvlText w:val="%1)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A2E64">
      <w:start w:val="1"/>
      <w:numFmt w:val="lowerRoman"/>
      <w:lvlText w:val="%2."/>
      <w:lvlJc w:val="left"/>
      <w:pPr>
        <w:ind w:left="1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E1694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A7A9A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0E52A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AFE4A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C01C14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A3D24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C36D4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322991"/>
    <w:multiLevelType w:val="hybridMultilevel"/>
    <w:tmpl w:val="3794A440"/>
    <w:lvl w:ilvl="0" w:tplc="ABAED586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5" w:hanging="360"/>
      </w:pPr>
    </w:lvl>
    <w:lvl w:ilvl="2" w:tplc="0816001B" w:tentative="1">
      <w:start w:val="1"/>
      <w:numFmt w:val="lowerRoman"/>
      <w:lvlText w:val="%3."/>
      <w:lvlJc w:val="right"/>
      <w:pPr>
        <w:ind w:left="1795" w:hanging="180"/>
      </w:pPr>
    </w:lvl>
    <w:lvl w:ilvl="3" w:tplc="0816000F" w:tentative="1">
      <w:start w:val="1"/>
      <w:numFmt w:val="decimal"/>
      <w:lvlText w:val="%4."/>
      <w:lvlJc w:val="left"/>
      <w:pPr>
        <w:ind w:left="2515" w:hanging="360"/>
      </w:pPr>
    </w:lvl>
    <w:lvl w:ilvl="4" w:tplc="08160019" w:tentative="1">
      <w:start w:val="1"/>
      <w:numFmt w:val="lowerLetter"/>
      <w:lvlText w:val="%5."/>
      <w:lvlJc w:val="left"/>
      <w:pPr>
        <w:ind w:left="3235" w:hanging="360"/>
      </w:pPr>
    </w:lvl>
    <w:lvl w:ilvl="5" w:tplc="0816001B" w:tentative="1">
      <w:start w:val="1"/>
      <w:numFmt w:val="lowerRoman"/>
      <w:lvlText w:val="%6."/>
      <w:lvlJc w:val="right"/>
      <w:pPr>
        <w:ind w:left="3955" w:hanging="180"/>
      </w:pPr>
    </w:lvl>
    <w:lvl w:ilvl="6" w:tplc="0816000F" w:tentative="1">
      <w:start w:val="1"/>
      <w:numFmt w:val="decimal"/>
      <w:lvlText w:val="%7."/>
      <w:lvlJc w:val="left"/>
      <w:pPr>
        <w:ind w:left="4675" w:hanging="360"/>
      </w:pPr>
    </w:lvl>
    <w:lvl w:ilvl="7" w:tplc="08160019" w:tentative="1">
      <w:start w:val="1"/>
      <w:numFmt w:val="lowerLetter"/>
      <w:lvlText w:val="%8."/>
      <w:lvlJc w:val="left"/>
      <w:pPr>
        <w:ind w:left="5395" w:hanging="360"/>
      </w:pPr>
    </w:lvl>
    <w:lvl w:ilvl="8" w:tplc="0816001B" w:tentative="1">
      <w:start w:val="1"/>
      <w:numFmt w:val="lowerRoman"/>
      <w:lvlText w:val="%9."/>
      <w:lvlJc w:val="right"/>
      <w:pPr>
        <w:ind w:left="6115" w:hanging="180"/>
      </w:pPr>
    </w:lvl>
  </w:abstractNum>
  <w:num w:numId="1" w16cid:durableId="1264916936">
    <w:abstractNumId w:val="2"/>
  </w:num>
  <w:num w:numId="2" w16cid:durableId="2006014320">
    <w:abstractNumId w:val="1"/>
  </w:num>
  <w:num w:numId="3" w16cid:durableId="1347251231">
    <w:abstractNumId w:val="0"/>
  </w:num>
  <w:num w:numId="4" w16cid:durableId="802846139">
    <w:abstractNumId w:val="3"/>
  </w:num>
  <w:num w:numId="5" w16cid:durableId="641159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65"/>
    <w:rsid w:val="00130D3E"/>
    <w:rsid w:val="0038012C"/>
    <w:rsid w:val="004D3765"/>
    <w:rsid w:val="005814A1"/>
    <w:rsid w:val="005F27F0"/>
    <w:rsid w:val="006B270C"/>
    <w:rsid w:val="00727257"/>
    <w:rsid w:val="00BA49EB"/>
    <w:rsid w:val="00BE08B2"/>
    <w:rsid w:val="00C7260C"/>
    <w:rsid w:val="00E25518"/>
    <w:rsid w:val="00E91185"/>
    <w:rsid w:val="00EA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47A89"/>
  <w15:docId w15:val="{A41DC121-84DE-4EB7-A399-3C319836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dice1">
    <w:name w:val="toc 1"/>
    <w:hidden/>
    <w:rsid w:val="00C7260C"/>
    <w:pPr>
      <w:spacing w:after="141" w:line="259" w:lineRule="auto"/>
      <w:ind w:left="25" w:right="25" w:hanging="10"/>
    </w:pPr>
    <w:rPr>
      <w:rFonts w:ascii="Calibri" w:eastAsia="Calibri" w:hAnsi="Calibri" w:cs="Calibri"/>
      <w:b/>
      <w:i/>
      <w:color w:val="000000"/>
      <w:kern w:val="2"/>
      <w:sz w:val="24"/>
      <w:szCs w:val="24"/>
      <w:lang w:val="pt-PT"/>
      <w14:ligatures w14:val="standardContextual"/>
    </w:rPr>
  </w:style>
  <w:style w:type="paragraph" w:styleId="ndice2">
    <w:name w:val="toc 2"/>
    <w:hidden/>
    <w:rsid w:val="00C7260C"/>
    <w:pPr>
      <w:spacing w:after="120" w:line="264" w:lineRule="auto"/>
      <w:ind w:left="230" w:right="25" w:hanging="10"/>
    </w:pPr>
    <w:rPr>
      <w:rFonts w:ascii="Calibri" w:eastAsia="Calibri" w:hAnsi="Calibri" w:cs="Calibri"/>
      <w:b/>
      <w:color w:val="000000"/>
      <w:kern w:val="2"/>
      <w:szCs w:val="24"/>
      <w:lang w:val="pt-PT"/>
      <w14:ligatures w14:val="standardContextual"/>
    </w:rPr>
  </w:style>
  <w:style w:type="paragraph" w:styleId="Cabealho">
    <w:name w:val="header"/>
    <w:basedOn w:val="Normal"/>
    <w:link w:val="CabealhoCarter"/>
    <w:uiPriority w:val="99"/>
    <w:unhideWhenUsed/>
    <w:rsid w:val="00C7260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7260C"/>
  </w:style>
  <w:style w:type="paragraph" w:styleId="Rodap">
    <w:name w:val="footer"/>
    <w:basedOn w:val="Normal"/>
    <w:link w:val="RodapCarter"/>
    <w:uiPriority w:val="99"/>
    <w:unhideWhenUsed/>
    <w:rsid w:val="00C7260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7260C"/>
  </w:style>
  <w:style w:type="character" w:styleId="Hiperligao">
    <w:name w:val="Hyperlink"/>
    <w:basedOn w:val="Tipodeletrapredefinidodopargrafo"/>
    <w:uiPriority w:val="99"/>
    <w:unhideWhenUsed/>
    <w:rsid w:val="00EA2E1A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A2E1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B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MCeu</dc:creator>
  <cp:lastModifiedBy>Maria do Céu</cp:lastModifiedBy>
  <cp:revision>3</cp:revision>
  <dcterms:created xsi:type="dcterms:W3CDTF">2024-06-03T17:11:00Z</dcterms:created>
  <dcterms:modified xsi:type="dcterms:W3CDTF">2024-06-03T17:16:00Z</dcterms:modified>
</cp:coreProperties>
</file>