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891FBE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="008C06BC">
        <w:rPr>
          <w:rFonts w:ascii="Tahoma" w:hAnsi="Tahoma" w:cs="Tahoma"/>
          <w:szCs w:val="28"/>
          <w:lang w:val="pt-PT"/>
        </w:rPr>
        <w:t>B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8C06BC" w:rsidRPr="008C06BC" w:rsidRDefault="008C06BC" w:rsidP="00891FBE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8C06BC">
        <w:rPr>
          <w:rFonts w:ascii="Tahoma" w:hAnsi="Tahoma" w:cs="Tahoma"/>
          <w:sz w:val="20"/>
          <w:szCs w:val="20"/>
          <w:lang w:val="pt-PT"/>
        </w:rPr>
        <w:t>Alexandra Maria da Cunha Vilar Guedes Estrada</w:t>
      </w:r>
    </w:p>
    <w:p w:rsidR="008C06BC" w:rsidRPr="008C06BC" w:rsidRDefault="008C06BC" w:rsidP="00891FBE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8C06BC">
        <w:rPr>
          <w:rFonts w:ascii="Tahoma" w:hAnsi="Tahoma" w:cs="Tahoma"/>
          <w:sz w:val="20"/>
          <w:szCs w:val="20"/>
          <w:lang w:val="pt-PT"/>
        </w:rPr>
        <w:t>António José Pereira Pais Martins</w:t>
      </w:r>
    </w:p>
    <w:p w:rsidR="008C06BC" w:rsidRPr="008C06BC" w:rsidRDefault="008C06BC" w:rsidP="00891FBE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8C06BC">
        <w:rPr>
          <w:rFonts w:ascii="Tahoma" w:hAnsi="Tahoma" w:cs="Tahoma"/>
          <w:sz w:val="20"/>
          <w:szCs w:val="20"/>
          <w:lang w:val="pt-PT"/>
        </w:rPr>
        <w:t>Clara Alexandra Ferreira de Faria Oliveira Lobo</w:t>
      </w:r>
    </w:p>
    <w:p w:rsidR="008C06BC" w:rsidRPr="008C06BC" w:rsidRDefault="008C06BC" w:rsidP="00891FBE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8C06BC">
        <w:rPr>
          <w:rFonts w:ascii="Tahoma" w:hAnsi="Tahoma" w:cs="Tahoma"/>
          <w:sz w:val="20"/>
          <w:szCs w:val="20"/>
          <w:lang w:val="pt-PT"/>
        </w:rPr>
        <w:t>Joana Irene de Barros Mourão</w:t>
      </w:r>
    </w:p>
    <w:p w:rsidR="008C06BC" w:rsidRPr="008C06BC" w:rsidRDefault="008C06BC" w:rsidP="00891FBE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8C06BC">
        <w:rPr>
          <w:rFonts w:ascii="Tahoma" w:hAnsi="Tahoma" w:cs="Tahoma"/>
          <w:sz w:val="20"/>
          <w:szCs w:val="20"/>
          <w:lang w:val="pt-PT"/>
        </w:rPr>
        <w:t>José Miguel Morais da Silva Pinto</w:t>
      </w:r>
    </w:p>
    <w:p w:rsidR="008C06BC" w:rsidRPr="008C06BC" w:rsidRDefault="008C06BC" w:rsidP="00891FBE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8C06BC">
        <w:rPr>
          <w:rFonts w:ascii="Tahoma" w:hAnsi="Tahoma" w:cs="Tahoma"/>
          <w:sz w:val="20"/>
          <w:szCs w:val="20"/>
          <w:lang w:val="pt-PT"/>
        </w:rPr>
        <w:t>Maria do Carmo Badalo Caldeira Branco</w:t>
      </w:r>
      <w:r w:rsidRPr="008C06BC">
        <w:rPr>
          <w:rFonts w:ascii="Tahoma" w:hAnsi="Tahoma" w:cs="Tahoma"/>
          <w:sz w:val="20"/>
          <w:szCs w:val="20"/>
          <w:lang w:val="pt-PT"/>
        </w:rPr>
        <w:tab/>
      </w:r>
    </w:p>
    <w:p w:rsidR="008C06BC" w:rsidRPr="008C06BC" w:rsidRDefault="008C06BC" w:rsidP="00891FBE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8C06BC">
        <w:rPr>
          <w:rFonts w:ascii="Tahoma" w:hAnsi="Tahoma" w:cs="Tahoma"/>
          <w:sz w:val="20"/>
          <w:szCs w:val="20"/>
          <w:lang w:val="pt-PT"/>
        </w:rPr>
        <w:t>Maria do Ros</w:t>
      </w:r>
      <w:r>
        <w:rPr>
          <w:rFonts w:ascii="Tahoma" w:hAnsi="Tahoma" w:cs="Tahoma"/>
          <w:sz w:val="20"/>
          <w:szCs w:val="20"/>
          <w:lang w:val="pt-PT"/>
        </w:rPr>
        <w:t>ário Florentino Gomes Abrunhosa</w:t>
      </w:r>
    </w:p>
    <w:p w:rsidR="008C06BC" w:rsidRPr="008C06BC" w:rsidRDefault="008C06BC" w:rsidP="00891FBE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8C06BC">
        <w:rPr>
          <w:rFonts w:ascii="Tahoma" w:hAnsi="Tahoma" w:cs="Tahoma"/>
          <w:sz w:val="20"/>
          <w:szCs w:val="20"/>
          <w:lang w:val="pt-PT"/>
        </w:rPr>
        <w:t>Maria Susana de Freitas Gonçalves da Costa Cadilha</w:t>
      </w:r>
    </w:p>
    <w:p w:rsidR="008C06BC" w:rsidRPr="008C06BC" w:rsidRDefault="008C06BC" w:rsidP="00891FBE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8C06BC">
        <w:rPr>
          <w:rFonts w:ascii="Tahoma" w:hAnsi="Tahoma" w:cs="Tahoma"/>
          <w:sz w:val="20"/>
          <w:szCs w:val="20"/>
          <w:lang w:val="pt-PT"/>
        </w:rPr>
        <w:t>Nuno Manuel Canhoto Serrano</w:t>
      </w:r>
    </w:p>
    <w:p w:rsidR="008C06BC" w:rsidRPr="008C06BC" w:rsidRDefault="008C06BC" w:rsidP="00891FBE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8C06BC">
        <w:rPr>
          <w:rFonts w:ascii="Tahoma" w:hAnsi="Tahoma" w:cs="Tahoma"/>
          <w:sz w:val="20"/>
          <w:szCs w:val="20"/>
          <w:lang w:val="pt-PT"/>
        </w:rPr>
        <w:t>Paulo Alexandre Magalhães Ferreira de Lemos</w:t>
      </w:r>
      <w:r w:rsidRPr="008C06BC">
        <w:rPr>
          <w:rFonts w:ascii="Tahoma" w:hAnsi="Tahoma" w:cs="Tahoma"/>
          <w:sz w:val="20"/>
          <w:szCs w:val="20"/>
          <w:lang w:val="pt-PT"/>
        </w:rPr>
        <w:tab/>
      </w:r>
    </w:p>
    <w:p w:rsidR="008C06BC" w:rsidRPr="008C06BC" w:rsidRDefault="008C06BC" w:rsidP="00891FBE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8C06BC">
        <w:rPr>
          <w:rFonts w:ascii="Tahoma" w:hAnsi="Tahoma" w:cs="Tahoma"/>
          <w:sz w:val="20"/>
          <w:szCs w:val="20"/>
          <w:lang w:val="pt-PT"/>
        </w:rPr>
        <w:t>Valentina Costa de Almeida</w:t>
      </w:r>
    </w:p>
    <w:p w:rsidR="008C06BC" w:rsidRPr="008C06BC" w:rsidRDefault="008C06BC" w:rsidP="00891FBE">
      <w:pPr>
        <w:ind w:left="851" w:right="284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8C06BC">
        <w:rPr>
          <w:rFonts w:ascii="Tahoma" w:hAnsi="Tahoma" w:cs="Tahoma"/>
          <w:b/>
          <w:sz w:val="20"/>
          <w:szCs w:val="20"/>
          <w:lang w:val="pt-PT"/>
        </w:rPr>
        <w:t>Suplentes:</w:t>
      </w:r>
    </w:p>
    <w:p w:rsidR="008C06BC" w:rsidRPr="008C06BC" w:rsidRDefault="008C06BC" w:rsidP="00891FBE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8C06BC">
        <w:rPr>
          <w:rFonts w:ascii="Tahoma" w:hAnsi="Tahoma" w:cs="Tahoma"/>
          <w:sz w:val="20"/>
          <w:szCs w:val="20"/>
          <w:lang w:val="pt-PT"/>
        </w:rPr>
        <w:t xml:space="preserve">Ana Sofia Correia Nogueira </w:t>
      </w:r>
    </w:p>
    <w:p w:rsidR="008C06BC" w:rsidRDefault="008C06BC" w:rsidP="00891FBE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proofErr w:type="spellStart"/>
      <w:r w:rsidRPr="008C06BC">
        <w:rPr>
          <w:rFonts w:ascii="Tahoma" w:hAnsi="Tahoma" w:cs="Tahoma"/>
          <w:sz w:val="20"/>
          <w:szCs w:val="20"/>
          <w:lang w:val="pt-PT"/>
        </w:rPr>
        <w:t>Lisbete</w:t>
      </w:r>
      <w:proofErr w:type="spellEnd"/>
      <w:r w:rsidRPr="008C06BC">
        <w:rPr>
          <w:rFonts w:ascii="Tahoma" w:hAnsi="Tahoma" w:cs="Tahoma"/>
          <w:sz w:val="20"/>
          <w:szCs w:val="20"/>
          <w:lang w:val="pt-PT"/>
        </w:rPr>
        <w:t xml:space="preserve"> Marisa Neto Cordeiro Perdigão</w:t>
      </w:r>
    </w:p>
    <w:p w:rsidR="00891FBE" w:rsidRPr="008C06BC" w:rsidRDefault="00891FBE" w:rsidP="00891FBE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</w:p>
    <w:p w:rsidR="00A50D47" w:rsidRDefault="00561C01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561C01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7F740A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ANESTESIOLOGIA</w:t>
      </w:r>
      <w:r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A50D47">
      <w:pPr>
        <w:spacing w:before="100" w:line="276" w:lineRule="auto"/>
        <w:ind w:left="426"/>
        <w:rPr>
          <w:rFonts w:ascii="Tahoma" w:hAnsi="Tahoma" w:cs="Tahoma"/>
          <w:sz w:val="22"/>
          <w:szCs w:val="22"/>
          <w:lang w:val="pt-PT"/>
        </w:rPr>
      </w:pPr>
    </w:p>
    <w:p w:rsidR="008C06BC" w:rsidRPr="008C06BC" w:rsidRDefault="008C06BC" w:rsidP="008C06BC">
      <w:pPr>
        <w:pStyle w:val="Cabealho"/>
        <w:spacing w:after="120" w:line="360" w:lineRule="auto"/>
        <w:jc w:val="center"/>
        <w:rPr>
          <w:rFonts w:ascii="Tahoma" w:hAnsi="Tahoma" w:cs="Tahoma"/>
          <w:b/>
          <w:lang w:val="pt-PT"/>
        </w:rPr>
      </w:pPr>
      <w:r w:rsidRPr="008C06BC">
        <w:rPr>
          <w:rFonts w:ascii="Tahoma" w:hAnsi="Tahoma" w:cs="Tahoma"/>
          <w:b/>
          <w:lang w:val="pt-PT"/>
        </w:rPr>
        <w:t>Apostando na Excelência da Anestesiologia em Portugal</w:t>
      </w:r>
    </w:p>
    <w:p w:rsidR="006B6740" w:rsidRPr="006B6740" w:rsidRDefault="006B6740" w:rsidP="006B6740">
      <w:pPr>
        <w:spacing w:before="120" w:after="120" w:line="360" w:lineRule="exact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sz w:val="20"/>
          <w:szCs w:val="20"/>
          <w:lang w:val="pt-PT"/>
        </w:rPr>
        <w:t xml:space="preserve">Realizar-se-á a 16 de Novembro de 2017 o </w:t>
      </w:r>
      <w:proofErr w:type="spellStart"/>
      <w:r w:rsidRPr="006B6740">
        <w:rPr>
          <w:rFonts w:ascii="Tahoma" w:hAnsi="Tahoma" w:cs="Tahoma"/>
          <w:sz w:val="20"/>
          <w:szCs w:val="20"/>
          <w:lang w:val="pt-PT"/>
        </w:rPr>
        <w:t>Acto</w:t>
      </w:r>
      <w:proofErr w:type="spellEnd"/>
      <w:r w:rsidRPr="006B6740">
        <w:rPr>
          <w:rFonts w:ascii="Tahoma" w:hAnsi="Tahoma" w:cs="Tahoma"/>
          <w:sz w:val="20"/>
          <w:szCs w:val="20"/>
          <w:lang w:val="pt-PT"/>
        </w:rPr>
        <w:t xml:space="preserve"> Eleitoral para as </w:t>
      </w:r>
      <w:proofErr w:type="spellStart"/>
      <w:r w:rsidRPr="006B6740">
        <w:rPr>
          <w:rFonts w:ascii="Tahoma" w:hAnsi="Tahoma" w:cs="Tahoma"/>
          <w:sz w:val="20"/>
          <w:szCs w:val="20"/>
          <w:lang w:val="pt-PT"/>
        </w:rPr>
        <w:t>Direcções</w:t>
      </w:r>
      <w:proofErr w:type="spellEnd"/>
      <w:r w:rsidRPr="006B6740">
        <w:rPr>
          <w:rFonts w:ascii="Tahoma" w:hAnsi="Tahoma" w:cs="Tahoma"/>
          <w:sz w:val="20"/>
          <w:szCs w:val="20"/>
          <w:lang w:val="pt-PT"/>
        </w:rPr>
        <w:t xml:space="preserve"> dos Órgãos Consultivos da Ordem dos Médicos (OM). </w:t>
      </w:r>
      <w:proofErr w:type="gramStart"/>
      <w:r w:rsidRPr="006B6740">
        <w:rPr>
          <w:rFonts w:ascii="Tahoma" w:hAnsi="Tahoma" w:cs="Tahoma"/>
          <w:sz w:val="20"/>
          <w:szCs w:val="20"/>
          <w:lang w:val="pt-PT"/>
        </w:rPr>
        <w:t xml:space="preserve">Membros da </w:t>
      </w:r>
      <w:proofErr w:type="spellStart"/>
      <w:r w:rsidRPr="006B6740">
        <w:rPr>
          <w:rFonts w:ascii="Tahoma" w:hAnsi="Tahoma" w:cs="Tahoma"/>
          <w:sz w:val="20"/>
          <w:szCs w:val="20"/>
          <w:lang w:val="pt-PT"/>
        </w:rPr>
        <w:t>actual</w:t>
      </w:r>
      <w:proofErr w:type="spellEnd"/>
      <w:r w:rsidRPr="006B6740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6B6740">
        <w:rPr>
          <w:rFonts w:ascii="Tahoma" w:hAnsi="Tahoma" w:cs="Tahoma"/>
          <w:sz w:val="20"/>
          <w:szCs w:val="20"/>
          <w:lang w:val="pt-PT"/>
        </w:rPr>
        <w:t>Direcção</w:t>
      </w:r>
      <w:proofErr w:type="spellEnd"/>
      <w:r w:rsidRPr="006B6740">
        <w:rPr>
          <w:rFonts w:ascii="Tahoma" w:hAnsi="Tahoma" w:cs="Tahoma"/>
          <w:sz w:val="20"/>
          <w:szCs w:val="20"/>
          <w:lang w:val="pt-PT"/>
        </w:rPr>
        <w:t xml:space="preserve"> do Colégio de Anestesiologia, com mais de um terço de caras novas numa dinâmica reformista, decidiram constituir</w:t>
      </w:r>
      <w:proofErr w:type="gramEnd"/>
      <w:r w:rsidRPr="006B6740">
        <w:rPr>
          <w:rFonts w:ascii="Tahoma" w:hAnsi="Tahoma" w:cs="Tahoma"/>
          <w:sz w:val="20"/>
          <w:szCs w:val="20"/>
          <w:lang w:val="pt-PT"/>
        </w:rPr>
        <w:t xml:space="preserve"> uma Lista Candidata a estas eleições.</w:t>
      </w:r>
    </w:p>
    <w:p w:rsidR="006B6740" w:rsidRPr="006B6740" w:rsidRDefault="006B6740" w:rsidP="006B6740">
      <w:pPr>
        <w:spacing w:before="120" w:after="120" w:line="240" w:lineRule="exact"/>
        <w:jc w:val="both"/>
        <w:rPr>
          <w:rFonts w:ascii="Tahoma" w:hAnsi="Tahoma" w:cs="Tahoma"/>
          <w:sz w:val="20"/>
          <w:szCs w:val="20"/>
          <w:lang w:val="pt-PT"/>
        </w:rPr>
      </w:pPr>
    </w:p>
    <w:p w:rsidR="006B6740" w:rsidRPr="006B6740" w:rsidRDefault="006B6740" w:rsidP="006B6740">
      <w:pPr>
        <w:spacing w:before="120" w:after="120" w:line="360" w:lineRule="exact"/>
        <w:jc w:val="both"/>
        <w:rPr>
          <w:rFonts w:ascii="Tahoma" w:hAnsi="Tahoma" w:cs="Tahoma"/>
          <w:b/>
          <w:sz w:val="20"/>
          <w:szCs w:val="20"/>
          <w:u w:val="single"/>
          <w:lang w:val="pt-PT"/>
        </w:rPr>
      </w:pPr>
      <w:r w:rsidRPr="006B6740">
        <w:rPr>
          <w:rFonts w:ascii="Tahoma" w:hAnsi="Tahoma" w:cs="Tahoma"/>
          <w:b/>
          <w:sz w:val="20"/>
          <w:szCs w:val="20"/>
          <w:u w:val="single"/>
          <w:lang w:val="pt-PT"/>
        </w:rPr>
        <w:t>O QUE FIZEMOS?</w:t>
      </w:r>
    </w:p>
    <w:p w:rsidR="006B6740" w:rsidRP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  <w:lang w:val="pt-PT"/>
        </w:rPr>
        <w:t>✔</w:t>
      </w:r>
      <w:r w:rsidRPr="006B6740">
        <w:rPr>
          <w:rFonts w:ascii="Tahoma" w:hAnsi="Tahoma" w:cs="Tahoma"/>
          <w:sz w:val="20"/>
          <w:szCs w:val="20"/>
        </w:rPr>
        <w:t></w:t>
      </w:r>
      <w:proofErr w:type="spellStart"/>
      <w:r w:rsidRPr="006B6740">
        <w:rPr>
          <w:rFonts w:ascii="Tahoma" w:hAnsi="Tahoma" w:cs="Tahoma"/>
          <w:b/>
          <w:sz w:val="20"/>
          <w:szCs w:val="20"/>
          <w:lang w:val="pt-PT"/>
        </w:rPr>
        <w:t>Óptimas</w:t>
      </w:r>
      <w:proofErr w:type="spellEnd"/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 relações institucionais com a SPA, o CAR, a ESA e a ESRA</w:t>
      </w:r>
    </w:p>
    <w:p w:rsidR="006B6740" w:rsidRP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  <w:lang w:val="pt-PT"/>
        </w:rPr>
        <w:t>✔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Emissão de mais de três centenas e meia de pareceres</w:t>
      </w:r>
    </w:p>
    <w:p w:rsidR="006B6740" w:rsidRP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  <w:lang w:val="pt-PT"/>
        </w:rPr>
        <w:t>✔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Intervenção </w:t>
      </w:r>
      <w:proofErr w:type="spellStart"/>
      <w:r w:rsidRPr="006B6740">
        <w:rPr>
          <w:rFonts w:ascii="Tahoma" w:hAnsi="Tahoma" w:cs="Tahoma"/>
          <w:b/>
          <w:sz w:val="20"/>
          <w:szCs w:val="20"/>
          <w:lang w:val="pt-PT"/>
        </w:rPr>
        <w:t>activa</w:t>
      </w:r>
      <w:proofErr w:type="spellEnd"/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 junto dos Serviços de Anestesiologia</w:t>
      </w:r>
    </w:p>
    <w:p w:rsidR="006B6740" w:rsidRP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  <w:lang w:val="pt-PT"/>
        </w:rPr>
        <w:t>✔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Formulação de recomendações </w:t>
      </w:r>
    </w:p>
    <w:p w:rsidR="006B6740" w:rsidRP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  <w:lang w:val="pt-PT"/>
        </w:rPr>
        <w:t>✔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Representação nos Órgãos Europeus da Especialidade</w:t>
      </w:r>
      <w:r w:rsidRPr="006B6740">
        <w:rPr>
          <w:rFonts w:ascii="Tahoma" w:hAnsi="Tahoma" w:cs="Tahoma"/>
          <w:sz w:val="20"/>
          <w:szCs w:val="20"/>
          <w:lang w:val="pt-PT"/>
        </w:rPr>
        <w:t xml:space="preserve"> </w:t>
      </w:r>
    </w:p>
    <w:p w:rsidR="006B6740" w:rsidRP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  <w:lang w:val="pt-PT"/>
        </w:rPr>
        <w:t>✔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Manutenção de contacto permanente com os Anestesiologistas</w:t>
      </w:r>
    </w:p>
    <w:p w:rsidR="006B6740" w:rsidRP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  <w:lang w:val="pt-PT"/>
        </w:rPr>
        <w:t>✔</w:t>
      </w:r>
      <w:r w:rsidRPr="006B6740">
        <w:rPr>
          <w:rFonts w:ascii="Tahoma" w:hAnsi="Tahoma" w:cs="Tahoma"/>
          <w:sz w:val="20"/>
          <w:szCs w:val="20"/>
        </w:rPr>
        <w:t></w:t>
      </w:r>
      <w:proofErr w:type="gramStart"/>
      <w:r w:rsidRPr="006B6740">
        <w:rPr>
          <w:rFonts w:ascii="Tahoma" w:hAnsi="Tahoma" w:cs="Tahoma"/>
          <w:b/>
          <w:sz w:val="20"/>
          <w:szCs w:val="20"/>
          <w:lang w:val="pt-PT"/>
        </w:rPr>
        <w:t>Representação em organismos centrais</w:t>
      </w:r>
      <w:proofErr w:type="gramEnd"/>
      <w:r w:rsidRPr="006B6740">
        <w:rPr>
          <w:rFonts w:ascii="Tahoma" w:hAnsi="Tahoma" w:cs="Tahoma"/>
          <w:b/>
          <w:sz w:val="20"/>
          <w:szCs w:val="20"/>
          <w:lang w:val="pt-PT"/>
        </w:rPr>
        <w:t>, nomeadamente na DGS, em vários grupos de trabalho</w:t>
      </w:r>
    </w:p>
    <w:p w:rsid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  <w:lang w:val="pt-PT"/>
        </w:rPr>
        <w:t>✔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Envolvimento </w:t>
      </w:r>
      <w:proofErr w:type="spellStart"/>
      <w:r w:rsidRPr="006B6740">
        <w:rPr>
          <w:rFonts w:ascii="Tahoma" w:hAnsi="Tahoma" w:cs="Tahoma"/>
          <w:b/>
          <w:sz w:val="20"/>
          <w:szCs w:val="20"/>
          <w:lang w:val="pt-PT"/>
        </w:rPr>
        <w:t>directo</w:t>
      </w:r>
      <w:proofErr w:type="spellEnd"/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 dos pares com responsabilidade na Formação Pós-Graduada</w:t>
      </w:r>
    </w:p>
    <w:p w:rsidR="006B6740" w:rsidRP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sz w:val="20"/>
          <w:szCs w:val="20"/>
          <w:lang w:val="pt-PT"/>
        </w:rPr>
      </w:pPr>
    </w:p>
    <w:p w:rsidR="006B6740" w:rsidRP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  <w:lang w:val="pt-PT"/>
        </w:rPr>
        <w:t>✔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Conclusão dos “Censos Anestesiologia” em 2014 e 2017</w:t>
      </w:r>
    </w:p>
    <w:p w:rsidR="006B6740" w:rsidRP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  <w:lang w:val="pt-PT"/>
        </w:rPr>
        <w:t>✔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Reestruturação do Plano de Formação em Anestesiologia</w:t>
      </w:r>
    </w:p>
    <w:p w:rsidR="006B6740" w:rsidRP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  <w:lang w:val="pt-PT"/>
        </w:rPr>
        <w:t>✔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Reformulação de diversos documentos pedagógicos de suporte à </w:t>
      </w:r>
      <w:proofErr w:type="spellStart"/>
      <w:r w:rsidRPr="006B6740">
        <w:rPr>
          <w:rFonts w:ascii="Tahoma" w:hAnsi="Tahoma" w:cs="Tahoma"/>
          <w:b/>
          <w:sz w:val="20"/>
          <w:szCs w:val="20"/>
          <w:lang w:val="pt-PT"/>
        </w:rPr>
        <w:t>actividade</w:t>
      </w:r>
      <w:proofErr w:type="spellEnd"/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 formativa</w:t>
      </w:r>
    </w:p>
    <w:p w:rsidR="006B6740" w:rsidRP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  <w:lang w:val="pt-PT"/>
        </w:rPr>
        <w:t>✔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Promoção, junto dos Serviços de Anestesiologia do país, da regulamentação dos Estágios Opcionais </w:t>
      </w:r>
    </w:p>
    <w:p w:rsidR="006B6740" w:rsidRP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  <w:lang w:val="pt-PT"/>
        </w:rPr>
        <w:t>✔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Elegibilidade dos Hospitais tipo I para receberem Internos do 5º ano da especialidade </w:t>
      </w:r>
    </w:p>
    <w:p w:rsidR="006B6740" w:rsidRPr="006B6740" w:rsidRDefault="006B6740" w:rsidP="006B6740">
      <w:pPr>
        <w:spacing w:before="120" w:after="120" w:line="320" w:lineRule="exact"/>
        <w:ind w:left="283" w:hanging="357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  <w:lang w:val="pt-PT"/>
        </w:rPr>
        <w:t>✔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Atribuições da idoneidade dos Serviços de Anestesiologia mais </w:t>
      </w:r>
      <w:proofErr w:type="spellStart"/>
      <w:r w:rsidRPr="006B6740">
        <w:rPr>
          <w:rFonts w:ascii="Tahoma" w:hAnsi="Tahoma" w:cs="Tahoma"/>
          <w:b/>
          <w:sz w:val="20"/>
          <w:szCs w:val="20"/>
          <w:lang w:val="pt-PT"/>
        </w:rPr>
        <w:t>objectivas</w:t>
      </w:r>
      <w:proofErr w:type="spellEnd"/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 e transparentes</w:t>
      </w:r>
    </w:p>
    <w:p w:rsidR="006B6740" w:rsidRPr="006B6740" w:rsidRDefault="006B6740" w:rsidP="006B6740">
      <w:pPr>
        <w:spacing w:before="120" w:after="120" w:line="360" w:lineRule="exact"/>
        <w:jc w:val="both"/>
        <w:rPr>
          <w:rFonts w:ascii="Tahoma" w:hAnsi="Tahoma" w:cs="Tahoma"/>
          <w:sz w:val="20"/>
          <w:szCs w:val="20"/>
          <w:lang w:val="pt-PT"/>
        </w:rPr>
      </w:pPr>
    </w:p>
    <w:p w:rsidR="006B6740" w:rsidRPr="006B6740" w:rsidRDefault="006B6740" w:rsidP="006B6740">
      <w:pPr>
        <w:spacing w:before="120" w:after="120" w:line="360" w:lineRule="exact"/>
        <w:jc w:val="both"/>
        <w:rPr>
          <w:rFonts w:ascii="Tahoma" w:hAnsi="Tahoma" w:cs="Tahoma"/>
          <w:b/>
          <w:sz w:val="20"/>
          <w:szCs w:val="20"/>
          <w:u w:val="single"/>
          <w:lang w:val="pt-PT"/>
        </w:rPr>
      </w:pPr>
      <w:r w:rsidRPr="006B6740">
        <w:rPr>
          <w:rFonts w:ascii="Tahoma" w:hAnsi="Tahoma" w:cs="Tahoma"/>
          <w:b/>
          <w:sz w:val="20"/>
          <w:szCs w:val="20"/>
          <w:u w:val="single"/>
          <w:lang w:val="pt-PT"/>
        </w:rPr>
        <w:t>O QUE QUEREMOS FAZER?</w:t>
      </w:r>
    </w:p>
    <w:p w:rsidR="006B6740" w:rsidRPr="006B6740" w:rsidRDefault="006B6740" w:rsidP="006B6740">
      <w:pPr>
        <w:spacing w:before="120" w:after="120" w:line="320" w:lineRule="exact"/>
        <w:ind w:left="284" w:hanging="284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</w:rPr>
        <w:t>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Manter as boas relações institucionais com todas as estruturas da OM</w:t>
      </w:r>
    </w:p>
    <w:p w:rsidR="006B6740" w:rsidRPr="006B6740" w:rsidRDefault="006B6740" w:rsidP="006B6740">
      <w:pPr>
        <w:spacing w:before="120" w:after="120" w:line="320" w:lineRule="exact"/>
        <w:ind w:left="284" w:hanging="284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</w:rPr>
        <w:t>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Manter diálogo aberto com todos os Colegas Anestesiologistas</w:t>
      </w:r>
    </w:p>
    <w:p w:rsidR="006B6740" w:rsidRPr="006B6740" w:rsidRDefault="006B6740" w:rsidP="006B6740">
      <w:pPr>
        <w:spacing w:before="120" w:after="120" w:line="320" w:lineRule="exact"/>
        <w:ind w:left="284" w:hanging="284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</w:rPr>
        <w:t>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Manter </w:t>
      </w:r>
      <w:proofErr w:type="gramStart"/>
      <w:r w:rsidRPr="006B6740">
        <w:rPr>
          <w:rFonts w:ascii="Tahoma" w:hAnsi="Tahoma" w:cs="Tahoma"/>
          <w:b/>
          <w:sz w:val="20"/>
          <w:szCs w:val="20"/>
          <w:lang w:val="pt-PT"/>
        </w:rPr>
        <w:t>boas</w:t>
      </w:r>
      <w:proofErr w:type="gramEnd"/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 relações com estruturas científicas nacionais e internacionais </w:t>
      </w:r>
    </w:p>
    <w:p w:rsidR="006B6740" w:rsidRPr="006B6740" w:rsidRDefault="006B6740" w:rsidP="006B6740">
      <w:pPr>
        <w:spacing w:before="120" w:after="120" w:line="320" w:lineRule="exact"/>
        <w:ind w:left="284" w:hanging="284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</w:rPr>
        <w:t>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Promover novas visitas de avaliação da idoneidade formativa</w:t>
      </w:r>
      <w:r w:rsidRPr="006B6740">
        <w:rPr>
          <w:rFonts w:ascii="Tahoma" w:hAnsi="Tahoma" w:cs="Tahoma"/>
          <w:sz w:val="20"/>
          <w:szCs w:val="20"/>
          <w:lang w:val="pt-PT"/>
        </w:rPr>
        <w:t xml:space="preserve"> 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a todos os Centros Formativos em Anestesiologia</w:t>
      </w:r>
    </w:p>
    <w:p w:rsidR="006B6740" w:rsidRPr="006B6740" w:rsidRDefault="006B6740" w:rsidP="006B6740">
      <w:pPr>
        <w:spacing w:before="120" w:after="120" w:line="320" w:lineRule="exact"/>
        <w:ind w:left="284" w:hanging="284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</w:rPr>
        <w:t>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Preparar a organização dos estágios obrigatórios em hospitais tipo I</w:t>
      </w:r>
      <w:r w:rsidRPr="006B6740">
        <w:rPr>
          <w:rFonts w:ascii="Tahoma" w:hAnsi="Tahoma" w:cs="Tahoma"/>
          <w:sz w:val="20"/>
          <w:szCs w:val="20"/>
          <w:lang w:val="pt-PT"/>
        </w:rPr>
        <w:t xml:space="preserve"> 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a iniciar em Janeiro de 2020</w:t>
      </w:r>
    </w:p>
    <w:p w:rsidR="006B6740" w:rsidRPr="006B6740" w:rsidRDefault="006B6740" w:rsidP="006B6740">
      <w:pPr>
        <w:spacing w:before="120" w:after="120" w:line="320" w:lineRule="exact"/>
        <w:ind w:left="284" w:hanging="284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</w:rPr>
        <w:t>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Exercer monitorização contínua sobre a qualidade e exercício dos Estágios Opcionais</w:t>
      </w:r>
    </w:p>
    <w:p w:rsidR="006B6740" w:rsidRPr="006B6740" w:rsidRDefault="006B6740" w:rsidP="006B6740">
      <w:pPr>
        <w:spacing w:before="120" w:after="120" w:line="320" w:lineRule="exact"/>
        <w:ind w:left="284" w:hanging="284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</w:rPr>
        <w:t>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Monitorizar a implementação dos cursos obrigatórios e a qualidade dos Estágios Opcionais</w:t>
      </w:r>
    </w:p>
    <w:p w:rsidR="006B6740" w:rsidRPr="006B6740" w:rsidRDefault="006B6740" w:rsidP="006B6740">
      <w:pPr>
        <w:spacing w:before="120" w:after="120" w:line="320" w:lineRule="exact"/>
        <w:ind w:left="284" w:hanging="284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</w:rPr>
        <w:t>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Monitorizar </w:t>
      </w:r>
      <w:proofErr w:type="gramStart"/>
      <w:r w:rsidRPr="006B6740">
        <w:rPr>
          <w:rFonts w:ascii="Tahoma" w:hAnsi="Tahoma" w:cs="Tahoma"/>
          <w:b/>
          <w:sz w:val="20"/>
          <w:szCs w:val="20"/>
          <w:lang w:val="pt-PT"/>
        </w:rPr>
        <w:t>a</w:t>
      </w:r>
      <w:proofErr w:type="gramEnd"/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 implementação dos Cursos de Simulação Médica ao Serviço do IFE </w:t>
      </w:r>
    </w:p>
    <w:p w:rsidR="006B6740" w:rsidRPr="006B6740" w:rsidRDefault="006B6740" w:rsidP="006B6740">
      <w:pPr>
        <w:spacing w:before="120" w:after="120" w:line="320" w:lineRule="exact"/>
        <w:ind w:left="284" w:hanging="284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</w:rPr>
        <w:t>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Realizar a repetição do Censos Anestesiologia em Maio de 2020</w:t>
      </w:r>
    </w:p>
    <w:p w:rsidR="006B6740" w:rsidRPr="006B6740" w:rsidRDefault="006B6740" w:rsidP="006B6740">
      <w:pPr>
        <w:spacing w:before="120" w:after="120" w:line="320" w:lineRule="exact"/>
        <w:ind w:left="284" w:hanging="284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</w:rPr>
        <w:t>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>Promover critérios de avaliação de qualidade nos Serviços de Anestesiologia</w:t>
      </w:r>
    </w:p>
    <w:p w:rsidR="006B6740" w:rsidRPr="006B6740" w:rsidRDefault="006B6740" w:rsidP="006B6740">
      <w:pPr>
        <w:spacing w:before="120" w:after="120" w:line="320" w:lineRule="exact"/>
        <w:ind w:left="284" w:hanging="284"/>
        <w:jc w:val="both"/>
        <w:rPr>
          <w:rFonts w:ascii="Tahoma" w:hAnsi="Tahoma" w:cs="Tahoma"/>
          <w:sz w:val="20"/>
          <w:szCs w:val="20"/>
          <w:lang w:val="pt-PT"/>
        </w:rPr>
      </w:pPr>
      <w:r w:rsidRPr="006B6740">
        <w:rPr>
          <w:rFonts w:ascii="Tahoma" w:hAnsi="Tahoma" w:cs="Tahoma"/>
          <w:b/>
          <w:sz w:val="20"/>
          <w:szCs w:val="20"/>
        </w:rPr>
        <w:t></w:t>
      </w:r>
      <w:r w:rsidRPr="006B6740">
        <w:rPr>
          <w:rFonts w:ascii="Tahoma" w:hAnsi="Tahoma" w:cs="Tahoma"/>
          <w:sz w:val="20"/>
          <w:szCs w:val="20"/>
        </w:rPr>
        <w:t></w:t>
      </w:r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Elaborar uma proposta da regulação da </w:t>
      </w:r>
      <w:proofErr w:type="spellStart"/>
      <w:r w:rsidRPr="006B6740">
        <w:rPr>
          <w:rFonts w:ascii="Tahoma" w:hAnsi="Tahoma" w:cs="Tahoma"/>
          <w:b/>
          <w:sz w:val="20"/>
          <w:szCs w:val="20"/>
          <w:lang w:val="pt-PT"/>
        </w:rPr>
        <w:t>actividade</w:t>
      </w:r>
      <w:proofErr w:type="spellEnd"/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 anestésica no Código de Nomenclatura e Valor Relativo dos </w:t>
      </w:r>
      <w:proofErr w:type="spellStart"/>
      <w:r w:rsidRPr="006B6740">
        <w:rPr>
          <w:rFonts w:ascii="Tahoma" w:hAnsi="Tahoma" w:cs="Tahoma"/>
          <w:b/>
          <w:sz w:val="20"/>
          <w:szCs w:val="20"/>
          <w:lang w:val="pt-PT"/>
        </w:rPr>
        <w:t>Actos</w:t>
      </w:r>
      <w:proofErr w:type="spellEnd"/>
      <w:r w:rsidRPr="006B6740">
        <w:rPr>
          <w:rFonts w:ascii="Tahoma" w:hAnsi="Tahoma" w:cs="Tahoma"/>
          <w:b/>
          <w:sz w:val="20"/>
          <w:szCs w:val="20"/>
          <w:lang w:val="pt-PT"/>
        </w:rPr>
        <w:t xml:space="preserve"> Médicos (CNVRAM) da Ordem dos Médicos</w:t>
      </w:r>
    </w:p>
    <w:p w:rsidR="006B6740" w:rsidRDefault="006B6740" w:rsidP="006B6740">
      <w:pPr>
        <w:spacing w:line="480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:rsidR="006B6740" w:rsidRDefault="006B6740" w:rsidP="006B6740">
      <w:pPr>
        <w:spacing w:line="480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:rsidR="006B6740" w:rsidRPr="006B6740" w:rsidRDefault="006B6740" w:rsidP="006B6740">
      <w:pPr>
        <w:jc w:val="center"/>
        <w:rPr>
          <w:rFonts w:ascii="Tahoma" w:hAnsi="Tahoma" w:cs="Tahoma"/>
          <w:sz w:val="28"/>
          <w:szCs w:val="28"/>
          <w:lang w:val="pt-PT"/>
        </w:rPr>
      </w:pPr>
      <w:r w:rsidRPr="006B6740">
        <w:rPr>
          <w:rFonts w:ascii="Tahoma" w:hAnsi="Tahoma" w:cs="Tahoma"/>
          <w:sz w:val="28"/>
          <w:szCs w:val="28"/>
          <w:lang w:val="pt-PT"/>
        </w:rPr>
        <w:t>Mais do que lhe pedir o seu voto,</w:t>
      </w:r>
    </w:p>
    <w:p w:rsidR="006B6740" w:rsidRPr="006B6740" w:rsidRDefault="006B6740" w:rsidP="006B6740">
      <w:pPr>
        <w:jc w:val="center"/>
        <w:rPr>
          <w:rFonts w:ascii="Tahoma" w:hAnsi="Tahoma" w:cs="Tahoma"/>
          <w:sz w:val="28"/>
          <w:szCs w:val="28"/>
          <w:lang w:val="pt-PT"/>
        </w:rPr>
      </w:pPr>
      <w:proofErr w:type="gramStart"/>
      <w:r w:rsidRPr="006B6740">
        <w:rPr>
          <w:rFonts w:ascii="Tahoma" w:hAnsi="Tahoma" w:cs="Tahoma"/>
          <w:sz w:val="28"/>
          <w:szCs w:val="28"/>
          <w:lang w:val="pt-PT"/>
        </w:rPr>
        <w:t>solicitamos</w:t>
      </w:r>
      <w:proofErr w:type="gramEnd"/>
      <w:r w:rsidRPr="006B6740">
        <w:rPr>
          <w:rFonts w:ascii="Tahoma" w:hAnsi="Tahoma" w:cs="Tahoma"/>
          <w:sz w:val="28"/>
          <w:szCs w:val="28"/>
          <w:lang w:val="pt-PT"/>
        </w:rPr>
        <w:t xml:space="preserve"> que participe neste </w:t>
      </w:r>
      <w:proofErr w:type="spellStart"/>
      <w:r w:rsidRPr="006B6740">
        <w:rPr>
          <w:rFonts w:ascii="Tahoma" w:hAnsi="Tahoma" w:cs="Tahoma"/>
          <w:sz w:val="28"/>
          <w:szCs w:val="28"/>
          <w:lang w:val="pt-PT"/>
        </w:rPr>
        <w:t>acto</w:t>
      </w:r>
      <w:proofErr w:type="spellEnd"/>
      <w:r w:rsidRPr="006B6740">
        <w:rPr>
          <w:rFonts w:ascii="Tahoma" w:hAnsi="Tahoma" w:cs="Tahoma"/>
          <w:sz w:val="28"/>
          <w:szCs w:val="28"/>
          <w:lang w:val="pt-PT"/>
        </w:rPr>
        <w:t xml:space="preserve"> eleitoral </w:t>
      </w:r>
      <w:r w:rsidRPr="006B6740">
        <w:rPr>
          <w:rFonts w:ascii="Tahoma" w:hAnsi="Tahoma" w:cs="Tahoma"/>
          <w:b/>
          <w:sz w:val="28"/>
          <w:szCs w:val="28"/>
          <w:u w:val="single"/>
          <w:lang w:val="pt-PT"/>
        </w:rPr>
        <w:t>VOTANDO</w:t>
      </w:r>
      <w:r w:rsidRPr="006B6740">
        <w:rPr>
          <w:rFonts w:ascii="Tahoma" w:hAnsi="Tahoma" w:cs="Tahoma"/>
          <w:sz w:val="28"/>
          <w:szCs w:val="28"/>
          <w:lang w:val="pt-PT"/>
        </w:rPr>
        <w:t>!</w:t>
      </w:r>
    </w:p>
    <w:p w:rsidR="00EF588B" w:rsidRPr="006B6740" w:rsidRDefault="00EF588B" w:rsidP="006B6740">
      <w:pPr>
        <w:spacing w:line="360" w:lineRule="auto"/>
        <w:jc w:val="center"/>
        <w:rPr>
          <w:rFonts w:ascii="Tahoma" w:hAnsi="Tahoma" w:cs="Tahoma"/>
          <w:sz w:val="28"/>
          <w:szCs w:val="28"/>
          <w:lang w:val="pt-PT"/>
        </w:rPr>
      </w:pPr>
    </w:p>
    <w:sectPr w:rsidR="00EF588B" w:rsidRPr="006B6740" w:rsidSect="008C06B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561C01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6B6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A50D47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A</w:t>
    </w:r>
    <w:r w:rsidR="007F740A"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NESTESIOLOGIA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C7D8E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24248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A69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1C01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B5DEF"/>
    <w:rsid w:val="005C1925"/>
    <w:rsid w:val="005C6D86"/>
    <w:rsid w:val="005D2AF8"/>
    <w:rsid w:val="005F14AC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6740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2A76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1F42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1FBE"/>
    <w:rsid w:val="0089365A"/>
    <w:rsid w:val="008938E5"/>
    <w:rsid w:val="0089490A"/>
    <w:rsid w:val="008958F1"/>
    <w:rsid w:val="008A24D3"/>
    <w:rsid w:val="008A2E69"/>
    <w:rsid w:val="008A30C5"/>
    <w:rsid w:val="008A6111"/>
    <w:rsid w:val="008C06BC"/>
    <w:rsid w:val="008C1B99"/>
    <w:rsid w:val="008C4783"/>
    <w:rsid w:val="008D1E8E"/>
    <w:rsid w:val="008D5998"/>
    <w:rsid w:val="008E174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376A7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EF588B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cter"/>
    <w:qFormat/>
    <w:rsid w:val="008C06BC"/>
    <w:pPr>
      <w:keepNext/>
      <w:spacing w:after="120" w:line="360" w:lineRule="auto"/>
      <w:jc w:val="center"/>
      <w:outlineLvl w:val="0"/>
    </w:pPr>
    <w:rPr>
      <w:rFonts w:ascii="Calibri" w:eastAsia="Calibri" w:hAnsi="Calibri"/>
      <w:b/>
      <w:noProof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1Carcter">
    <w:name w:val="Título 1 Carácter"/>
    <w:basedOn w:val="Tipodeletrapredefinidodopargrafo"/>
    <w:link w:val="Ttulo1"/>
    <w:rsid w:val="008C06BC"/>
    <w:rPr>
      <w:rFonts w:ascii="Calibri" w:eastAsia="Calibri" w:hAnsi="Calibri" w:cs="Times New Roman"/>
      <w:b/>
      <w:noProof/>
    </w:rPr>
  </w:style>
  <w:style w:type="paragraph" w:styleId="Corpodetexto2">
    <w:name w:val="Body Text 2"/>
    <w:basedOn w:val="Normal"/>
    <w:link w:val="Corpodetexto2Carcter"/>
    <w:semiHidden/>
    <w:rsid w:val="008C06BC"/>
    <w:pPr>
      <w:spacing w:after="120" w:line="360" w:lineRule="auto"/>
      <w:jc w:val="both"/>
    </w:pPr>
    <w:rPr>
      <w:rFonts w:ascii="Calibri" w:eastAsia="Calibri" w:hAnsi="Calibri"/>
      <w:noProof/>
      <w:sz w:val="22"/>
      <w:szCs w:val="22"/>
      <w:lang w:val="pt-PT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8C06BC"/>
    <w:rPr>
      <w:rFonts w:ascii="Calibri" w:eastAsia="Calibri" w:hAnsi="Calibri" w:cs="Times New Roman"/>
      <w:noProof/>
    </w:rPr>
  </w:style>
  <w:style w:type="paragraph" w:styleId="Legenda">
    <w:name w:val="caption"/>
    <w:basedOn w:val="Normal"/>
    <w:next w:val="Normal"/>
    <w:qFormat/>
    <w:rsid w:val="008C06BC"/>
    <w:pPr>
      <w:spacing w:line="276" w:lineRule="auto"/>
      <w:jc w:val="center"/>
    </w:pPr>
    <w:rPr>
      <w:rFonts w:ascii="Calibri" w:eastAsia="Calibri" w:hAnsi="Calibri"/>
      <w:b/>
      <w:bCs/>
      <w:noProof/>
      <w:sz w:val="20"/>
      <w:szCs w:val="22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C06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06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9</cp:revision>
  <cp:lastPrinted>2015-02-26T15:16:00Z</cp:lastPrinted>
  <dcterms:created xsi:type="dcterms:W3CDTF">2017-10-26T10:31:00Z</dcterms:created>
  <dcterms:modified xsi:type="dcterms:W3CDTF">2017-10-31T10:18:00Z</dcterms:modified>
</cp:coreProperties>
</file>