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84" w:rsidRDefault="00B80C84" w:rsidP="007F0B29">
      <w:pPr>
        <w:spacing w:after="0"/>
        <w:jc w:val="center"/>
        <w:rPr>
          <w:rFonts w:ascii="Times New Roman" w:hAnsi="Times New Roman"/>
          <w:b/>
          <w:color w:val="9A7200"/>
          <w:sz w:val="32"/>
        </w:rPr>
      </w:pPr>
    </w:p>
    <w:p w:rsidR="00BF4450" w:rsidRDefault="00BF4450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  <w:bookmarkStart w:id="0" w:name="_GoBack"/>
      <w:bookmarkEnd w:id="0"/>
      <w:r w:rsidRPr="00602D94">
        <w:rPr>
          <w:rFonts w:ascii="Times New Roman" w:hAnsi="Times New Roman"/>
          <w:b/>
          <w:color w:val="9A7200"/>
          <w:sz w:val="32"/>
        </w:rPr>
        <w:t xml:space="preserve">Colégio de </w:t>
      </w:r>
      <w:r w:rsidR="007F0B29">
        <w:rPr>
          <w:rFonts w:ascii="Times New Roman" w:hAnsi="Times New Roman"/>
          <w:b/>
          <w:color w:val="9A7200"/>
          <w:sz w:val="32"/>
        </w:rPr>
        <w:t xml:space="preserve">Cardiologia Pediátrica </w:t>
      </w:r>
    </w:p>
    <w:p w:rsidR="007F0B29" w:rsidRPr="007F0B29" w:rsidRDefault="007F0B29" w:rsidP="007F0B29">
      <w:pPr>
        <w:spacing w:after="0"/>
        <w:jc w:val="center"/>
        <w:rPr>
          <w:rFonts w:ascii="Times New Roman" w:hAnsi="Times New Roman"/>
          <w:b/>
          <w:color w:val="9A7200"/>
          <w:sz w:val="20"/>
          <w:szCs w:val="20"/>
        </w:rPr>
      </w:pPr>
    </w:p>
    <w:p w:rsidR="007F0B29" w:rsidRPr="004C2754" w:rsidRDefault="00944EC6" w:rsidP="004C2754">
      <w:pPr>
        <w:spacing w:after="0" w:line="360" w:lineRule="auto"/>
        <w:jc w:val="center"/>
        <w:rPr>
          <w:rFonts w:ascii="Verdana" w:hAnsi="Verdana"/>
          <w:b/>
          <w:color w:val="9A7200"/>
          <w:sz w:val="18"/>
          <w:szCs w:val="20"/>
        </w:rPr>
      </w:pPr>
      <w:r w:rsidRPr="004C2754">
        <w:rPr>
          <w:rFonts w:ascii="Verdana" w:hAnsi="Verdana"/>
          <w:b/>
          <w:color w:val="9A7200"/>
          <w:sz w:val="18"/>
          <w:szCs w:val="20"/>
        </w:rPr>
        <w:t>ORIENTAÇÕES E GRELHA CLASSIFICATIVA DE SUPORTE PARA A</w:t>
      </w:r>
      <w:r w:rsidR="004C2754" w:rsidRPr="004C2754">
        <w:rPr>
          <w:rFonts w:ascii="Verdana" w:hAnsi="Verdana"/>
          <w:b/>
          <w:color w:val="9A7200"/>
          <w:sz w:val="18"/>
          <w:szCs w:val="20"/>
        </w:rPr>
        <w:t xml:space="preserve">VALIAÇÃO DA PROVA CURRICULAR, </w:t>
      </w:r>
      <w:r w:rsidRPr="004C2754">
        <w:rPr>
          <w:rFonts w:ascii="Verdana" w:hAnsi="Verdana"/>
          <w:b/>
          <w:color w:val="9A7200"/>
          <w:sz w:val="18"/>
          <w:szCs w:val="20"/>
        </w:rPr>
        <w:t xml:space="preserve">PRÁTICA E TEÓRICA DA ESPECIALIDADE DE CARDIOLOGIA PEDIÁTRICA </w:t>
      </w:r>
    </w:p>
    <w:p w:rsidR="007F0B29" w:rsidRPr="00944EC6" w:rsidRDefault="007F0B29" w:rsidP="007F0B29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7F0B29" w:rsidRDefault="007F0B29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Tendo em consideração os pressupostos e as condições descritas na portaria do Ministério da Saúde nº 251/2011 de 24 de Junho, nomeadamente os artigos 82º (prova de discussão curricular), 83º (prova prática), 84º (prova teórica) e 85º (classificação da avaliação final), o Colégio da Especialidade de Cardiologia Pediátrica decidiu atribuir o seguinte suporte classificativo:</w:t>
      </w:r>
    </w:p>
    <w:p w:rsidR="007F0B29" w:rsidRPr="00944EC6" w:rsidRDefault="007F0B29" w:rsidP="00944EC6">
      <w:pPr>
        <w:spacing w:line="240" w:lineRule="auto"/>
        <w:jc w:val="both"/>
        <w:rPr>
          <w:rFonts w:ascii="Verdana" w:hAnsi="Verdana" w:cs="Arial"/>
          <w:sz w:val="16"/>
          <w:szCs w:val="16"/>
        </w:rPr>
      </w:pP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7F0B29">
        <w:rPr>
          <w:rFonts w:ascii="Verdana" w:hAnsi="Verdana" w:cs="Arial"/>
          <w:b/>
          <w:i/>
          <w:sz w:val="20"/>
          <w:szCs w:val="20"/>
        </w:rPr>
        <w:t>As provas são sequenciais e eliminatórias.</w:t>
      </w: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7F0B29">
        <w:rPr>
          <w:rFonts w:ascii="Verdana" w:hAnsi="Verdana" w:cs="Arial"/>
          <w:b/>
          <w:sz w:val="20"/>
          <w:szCs w:val="20"/>
        </w:rPr>
        <w:t>I .</w:t>
      </w:r>
      <w:proofErr w:type="gramEnd"/>
      <w:r w:rsidRPr="007F0B29">
        <w:rPr>
          <w:rFonts w:ascii="Verdana" w:hAnsi="Verdana" w:cs="Arial"/>
          <w:b/>
          <w:sz w:val="20"/>
          <w:szCs w:val="20"/>
        </w:rPr>
        <w:t xml:space="preserve"> Prova curricular</w:t>
      </w: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Classificação de 0 a 20 considerando a sua distribuição da seguinte forma pelos vários itens:</w:t>
      </w:r>
    </w:p>
    <w:p w:rsidR="007F0B29" w:rsidRPr="007F0B29" w:rsidRDefault="007F0B29" w:rsidP="007F0B2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Descrição e análise da evolução da formação ao longo do internato, com incidência sobre os registos de avaliação contínua previstos no nº 4 do artigo 72º (“todos os resultados da avaliação contínua são registados no processo individual do médico interno da instituição de saúde de colocação ou formação”) ----- a pontuação máxima de 8 valores. (Esta classificação deve resultar da média ponderada da classificação obtida durante os estágios que integram o programa de formação).</w:t>
      </w:r>
    </w:p>
    <w:p w:rsidR="007F0B29" w:rsidRPr="007F0B29" w:rsidRDefault="007F0B29" w:rsidP="007F0B2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 xml:space="preserve">Descrição e análise do contributo do trabalho do candidato </w:t>
      </w:r>
      <w:proofErr w:type="gramStart"/>
      <w:r w:rsidRPr="007F0B29">
        <w:rPr>
          <w:rFonts w:ascii="Verdana" w:hAnsi="Verdana" w:cs="Arial"/>
          <w:sz w:val="20"/>
          <w:szCs w:val="20"/>
        </w:rPr>
        <w:t>para</w:t>
      </w:r>
      <w:proofErr w:type="gramEnd"/>
      <w:r w:rsidRPr="007F0B29">
        <w:rPr>
          <w:rFonts w:ascii="Verdana" w:hAnsi="Verdana" w:cs="Arial"/>
          <w:sz w:val="20"/>
          <w:szCs w:val="20"/>
        </w:rPr>
        <w:t xml:space="preserve"> os serviços e funcionamento dos mesmos --------- a pontuação máxima de 4 valores</w:t>
      </w:r>
      <w:r w:rsidR="00944EC6">
        <w:rPr>
          <w:rFonts w:ascii="Verdana" w:hAnsi="Verdana" w:cs="Arial"/>
          <w:sz w:val="20"/>
          <w:szCs w:val="20"/>
        </w:rPr>
        <w:t>.</w:t>
      </w:r>
    </w:p>
    <w:p w:rsidR="007F0B29" w:rsidRPr="007F0B29" w:rsidRDefault="007F0B29" w:rsidP="007F0B2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 xml:space="preserve">Frequência e classificação de cursos cujo programa de formação seja de interesse </w:t>
      </w:r>
      <w:proofErr w:type="gramStart"/>
      <w:r w:rsidRPr="007F0B29">
        <w:rPr>
          <w:rFonts w:ascii="Verdana" w:hAnsi="Verdana" w:cs="Arial"/>
          <w:sz w:val="20"/>
          <w:szCs w:val="20"/>
        </w:rPr>
        <w:t>para</w:t>
      </w:r>
      <w:proofErr w:type="gramEnd"/>
      <w:r w:rsidRPr="007F0B29">
        <w:rPr>
          <w:rFonts w:ascii="Verdana" w:hAnsi="Verdana" w:cs="Arial"/>
          <w:sz w:val="20"/>
          <w:szCs w:val="20"/>
        </w:rPr>
        <w:t xml:space="preserve"> a área profissional da especialização --------- a pontuação máxima de 2 valores</w:t>
      </w:r>
      <w:r w:rsidR="00944EC6">
        <w:rPr>
          <w:rFonts w:ascii="Verdana" w:hAnsi="Verdana" w:cs="Arial"/>
          <w:sz w:val="20"/>
          <w:szCs w:val="20"/>
        </w:rPr>
        <w:t>.</w:t>
      </w:r>
    </w:p>
    <w:p w:rsidR="007F0B29" w:rsidRPr="007F0B29" w:rsidRDefault="007F0B29" w:rsidP="007F0B2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 xml:space="preserve">Publicação ou apresentação pública de trabalhos (entenda-se com </w:t>
      </w:r>
      <w:proofErr w:type="spellStart"/>
      <w:r w:rsidRPr="007F0B29">
        <w:rPr>
          <w:rFonts w:ascii="Verdana" w:hAnsi="Verdana" w:cs="Arial"/>
          <w:i/>
          <w:sz w:val="20"/>
          <w:szCs w:val="20"/>
        </w:rPr>
        <w:t>peer</w:t>
      </w:r>
      <w:proofErr w:type="spellEnd"/>
      <w:r w:rsidRPr="007F0B29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7F0B29">
        <w:rPr>
          <w:rFonts w:ascii="Verdana" w:hAnsi="Verdana" w:cs="Arial"/>
          <w:i/>
          <w:sz w:val="20"/>
          <w:szCs w:val="20"/>
        </w:rPr>
        <w:t>review</w:t>
      </w:r>
      <w:proofErr w:type="spellEnd"/>
      <w:r w:rsidRPr="007F0B29">
        <w:rPr>
          <w:rFonts w:ascii="Verdana" w:hAnsi="Verdana" w:cs="Arial"/>
          <w:sz w:val="20"/>
          <w:szCs w:val="20"/>
        </w:rPr>
        <w:t>) --------- a pontuação máxima de 3</w:t>
      </w:r>
      <w:r>
        <w:rPr>
          <w:rFonts w:ascii="Verdana" w:hAnsi="Verdana" w:cs="Arial"/>
          <w:sz w:val="20"/>
          <w:szCs w:val="20"/>
        </w:rPr>
        <w:t xml:space="preserve"> </w:t>
      </w:r>
      <w:r w:rsidRPr="007F0B29">
        <w:rPr>
          <w:rFonts w:ascii="Verdana" w:hAnsi="Verdana" w:cs="Arial"/>
          <w:sz w:val="20"/>
          <w:szCs w:val="20"/>
        </w:rPr>
        <w:t>valores (trabalhos publicados 2, trabalhos comunicados 1)</w:t>
      </w:r>
      <w:r w:rsidR="00944EC6">
        <w:rPr>
          <w:rFonts w:ascii="Verdana" w:hAnsi="Verdana" w:cs="Arial"/>
          <w:sz w:val="20"/>
          <w:szCs w:val="20"/>
        </w:rPr>
        <w:t>.</w:t>
      </w:r>
    </w:p>
    <w:p w:rsidR="007F0B29" w:rsidRPr="007F0B29" w:rsidRDefault="007F0B29" w:rsidP="007F0B2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 xml:space="preserve">Trabalhos escritos e ou comunicados, feitos no âmbito dos serviços e da área profissional de especialização (entenda-se sem seleção </w:t>
      </w:r>
      <w:proofErr w:type="spellStart"/>
      <w:r w:rsidRPr="007F0B29">
        <w:rPr>
          <w:rFonts w:ascii="Verdana" w:hAnsi="Verdana" w:cs="Arial"/>
          <w:i/>
          <w:sz w:val="20"/>
          <w:szCs w:val="20"/>
        </w:rPr>
        <w:t>peer</w:t>
      </w:r>
      <w:proofErr w:type="spellEnd"/>
      <w:r w:rsidRPr="007F0B29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7F0B29">
        <w:rPr>
          <w:rFonts w:ascii="Verdana" w:hAnsi="Verdana" w:cs="Arial"/>
          <w:i/>
          <w:sz w:val="20"/>
          <w:szCs w:val="20"/>
        </w:rPr>
        <w:t>review</w:t>
      </w:r>
      <w:proofErr w:type="spellEnd"/>
      <w:r w:rsidRPr="007F0B29">
        <w:rPr>
          <w:rFonts w:ascii="Verdana" w:hAnsi="Verdana" w:cs="Arial"/>
          <w:sz w:val="20"/>
          <w:szCs w:val="20"/>
        </w:rPr>
        <w:t>) ----------- a pontuação máxima de 1 valores</w:t>
      </w:r>
      <w:r w:rsidR="00944EC6">
        <w:rPr>
          <w:rFonts w:ascii="Verdana" w:hAnsi="Verdana" w:cs="Arial"/>
          <w:sz w:val="20"/>
          <w:szCs w:val="20"/>
        </w:rPr>
        <w:t>.</w:t>
      </w:r>
    </w:p>
    <w:p w:rsidR="007F0B29" w:rsidRPr="007F0B29" w:rsidRDefault="007F0B29" w:rsidP="007F0B2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Participação dentro da área de especialização na formação de outros profissionais --------- a pontuação máxima de 2 valores</w:t>
      </w:r>
      <w:r w:rsidR="00944EC6">
        <w:rPr>
          <w:rFonts w:ascii="Verdana" w:hAnsi="Verdana" w:cs="Arial"/>
          <w:sz w:val="20"/>
          <w:szCs w:val="20"/>
        </w:rPr>
        <w:t>.</w:t>
      </w:r>
    </w:p>
    <w:p w:rsidR="007F0B29" w:rsidRDefault="007F0B29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A argumentação da prova curricular tem a duração máxima de 2 horas cabendo metade do tempo ao júri e a outra metade ao candidato, devendo cada membro do júri (pelo menos 3) fundamentar a avaliação e a classificação atribuídas em cada um dos el</w:t>
      </w:r>
      <w:r w:rsidR="00944EC6">
        <w:rPr>
          <w:rFonts w:ascii="Verdana" w:hAnsi="Verdana" w:cs="Arial"/>
          <w:sz w:val="20"/>
          <w:szCs w:val="20"/>
        </w:rPr>
        <w:t>ementos da discussão curricular.</w:t>
      </w:r>
    </w:p>
    <w:p w:rsidR="00944EC6" w:rsidRDefault="00944EC6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4EC6" w:rsidRPr="007F0B29" w:rsidRDefault="00944EC6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proofErr w:type="gramStart"/>
      <w:r w:rsidRPr="007F0B29">
        <w:rPr>
          <w:rFonts w:ascii="Verdana" w:hAnsi="Verdana" w:cs="Arial"/>
          <w:b/>
          <w:sz w:val="20"/>
          <w:szCs w:val="20"/>
        </w:rPr>
        <w:lastRenderedPageBreak/>
        <w:t>II .</w:t>
      </w:r>
      <w:proofErr w:type="gramEnd"/>
      <w:r w:rsidRPr="007F0B29">
        <w:rPr>
          <w:rFonts w:ascii="Verdana" w:hAnsi="Verdana" w:cs="Arial"/>
          <w:b/>
          <w:sz w:val="20"/>
          <w:szCs w:val="20"/>
        </w:rPr>
        <w:t xml:space="preserve"> Prova prática</w:t>
      </w:r>
    </w:p>
    <w:p w:rsidR="007F0B29" w:rsidRPr="007F0B29" w:rsidRDefault="007F0B29" w:rsidP="00944EC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A prova prática consta da observação de um doente com elaboração de relatório e sua discussão.</w:t>
      </w: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 xml:space="preserve">Aplicam-se as seguintes regras: </w:t>
      </w:r>
    </w:p>
    <w:p w:rsidR="007F0B29" w:rsidRPr="007F0B29" w:rsidRDefault="007F0B29" w:rsidP="007F0B29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7F0B29">
        <w:rPr>
          <w:rFonts w:ascii="Verdana" w:hAnsi="Verdana" w:cs="Arial"/>
          <w:sz w:val="20"/>
          <w:szCs w:val="20"/>
        </w:rPr>
        <w:t>o</w:t>
      </w:r>
      <w:proofErr w:type="gramEnd"/>
      <w:r w:rsidRPr="007F0B29">
        <w:rPr>
          <w:rFonts w:ascii="Verdana" w:hAnsi="Verdana" w:cs="Arial"/>
          <w:sz w:val="20"/>
          <w:szCs w:val="20"/>
        </w:rPr>
        <w:t xml:space="preserve"> doente é sorteado no dia da prova de entre um nº mínimo de três escolhidos pelo júri.</w:t>
      </w:r>
    </w:p>
    <w:p w:rsidR="007F0B29" w:rsidRPr="007F0B29" w:rsidRDefault="007F0B29" w:rsidP="007F0B29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7F0B29">
        <w:rPr>
          <w:rFonts w:ascii="Verdana" w:hAnsi="Verdana" w:cs="Arial"/>
          <w:sz w:val="20"/>
          <w:szCs w:val="20"/>
        </w:rPr>
        <w:t>observação</w:t>
      </w:r>
      <w:proofErr w:type="gramEnd"/>
      <w:r w:rsidRPr="007F0B29">
        <w:rPr>
          <w:rFonts w:ascii="Verdana" w:hAnsi="Verdana" w:cs="Arial"/>
          <w:sz w:val="20"/>
          <w:szCs w:val="20"/>
        </w:rPr>
        <w:t xml:space="preserve"> do doente é </w:t>
      </w:r>
      <w:proofErr w:type="spellStart"/>
      <w:r w:rsidRPr="007F0B29">
        <w:rPr>
          <w:rFonts w:ascii="Verdana" w:hAnsi="Verdana" w:cs="Arial"/>
          <w:sz w:val="20"/>
          <w:szCs w:val="20"/>
        </w:rPr>
        <w:t>efectuada</w:t>
      </w:r>
      <w:proofErr w:type="spellEnd"/>
      <w:r w:rsidRPr="007F0B29">
        <w:rPr>
          <w:rFonts w:ascii="Verdana" w:hAnsi="Verdana" w:cs="Arial"/>
          <w:sz w:val="20"/>
          <w:szCs w:val="20"/>
        </w:rPr>
        <w:t xml:space="preserve"> na presença de pelo menos um membro do júri alheio à instituição, e tem duração máxima de 90 minutos.</w:t>
      </w:r>
    </w:p>
    <w:p w:rsidR="007F0B29" w:rsidRPr="007F0B29" w:rsidRDefault="007F0B29" w:rsidP="007F0B29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7F0B29">
        <w:rPr>
          <w:rFonts w:ascii="Verdana" w:hAnsi="Verdana" w:cs="Arial"/>
          <w:sz w:val="20"/>
          <w:szCs w:val="20"/>
        </w:rPr>
        <w:t>segue-se</w:t>
      </w:r>
      <w:proofErr w:type="gramEnd"/>
      <w:r w:rsidRPr="007F0B29">
        <w:rPr>
          <w:rFonts w:ascii="Verdana" w:hAnsi="Verdana" w:cs="Arial"/>
          <w:sz w:val="20"/>
          <w:szCs w:val="20"/>
        </w:rPr>
        <w:t xml:space="preserve"> um período máximo de 90 minutos para elaborar a história clínica.</w:t>
      </w:r>
    </w:p>
    <w:p w:rsidR="007F0B29" w:rsidRPr="007F0B29" w:rsidRDefault="007F0B29" w:rsidP="007F0B29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A história clínica deve conter anamnese, observação, hipóteses diagnósticas e sua discussão.</w:t>
      </w:r>
    </w:p>
    <w:p w:rsidR="007F0B29" w:rsidRPr="007F0B29" w:rsidRDefault="007F0B29" w:rsidP="007F0B29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O candidato deve elaborar uma lista justificada de exames complementares.</w:t>
      </w:r>
    </w:p>
    <w:p w:rsidR="007F0B29" w:rsidRPr="007F0B29" w:rsidRDefault="007F0B29" w:rsidP="007F0B29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O relatório final e a lista de exames complementares são entregues ao júri que os encerra em envelope nominal rubricado e selado pelos intervenientes.</w:t>
      </w:r>
    </w:p>
    <w:p w:rsidR="007F0B29" w:rsidRPr="007F0B29" w:rsidRDefault="007F0B29" w:rsidP="007F0B29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O júri fornece os resultados dos exames solicitados.</w:t>
      </w:r>
    </w:p>
    <w:p w:rsidR="007F0B29" w:rsidRPr="007F0B29" w:rsidRDefault="007F0B29" w:rsidP="007F0B29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 xml:space="preserve">O candidato dispõe de 60 minutos para elaborar um breve relatório do qual deve constar o diagnóstico mais provável, o plano terapêutico, o prognóstico e o plano de seguimento. </w:t>
      </w: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A discussão do relatório é feita no mínimo por três elementos do júri e tem a duração máxima de 90 minutos, cabendo ao júri metade do tempo e ao candidato a outra metade.</w:t>
      </w: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 xml:space="preserve">A classificação é de </w:t>
      </w:r>
      <w:smartTag w:uri="urn:schemas-microsoft-com:office:smarttags" w:element="metricconverter">
        <w:smartTagPr>
          <w:attr w:name="ProductID" w:val="0 a"/>
        </w:smartTagPr>
        <w:r w:rsidRPr="007F0B29">
          <w:rPr>
            <w:rFonts w:ascii="Verdana" w:hAnsi="Verdana" w:cs="Arial"/>
            <w:sz w:val="20"/>
            <w:szCs w:val="20"/>
          </w:rPr>
          <w:t>0 a</w:t>
        </w:r>
      </w:smartTag>
      <w:r w:rsidRPr="007F0B29">
        <w:rPr>
          <w:rFonts w:ascii="Verdana" w:hAnsi="Verdana" w:cs="Arial"/>
          <w:sz w:val="20"/>
          <w:szCs w:val="20"/>
        </w:rPr>
        <w:t xml:space="preserve"> 20 considerando a sua distribuição da seguinte forma pelos vários itens:</w:t>
      </w:r>
    </w:p>
    <w:p w:rsidR="007F0B29" w:rsidRPr="007F0B29" w:rsidRDefault="007F0B29" w:rsidP="007F0B29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Colheita da história clínica e observação do doente ----- a pontuação máxima de 4 valores</w:t>
      </w:r>
      <w:r w:rsidR="00944EC6">
        <w:rPr>
          <w:rFonts w:ascii="Verdana" w:hAnsi="Verdana" w:cs="Arial"/>
          <w:sz w:val="20"/>
          <w:szCs w:val="20"/>
        </w:rPr>
        <w:t>.</w:t>
      </w:r>
    </w:p>
    <w:p w:rsidR="007F0B29" w:rsidRPr="007F0B29" w:rsidRDefault="007F0B29" w:rsidP="007F0B29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Elaboração do relatório onde deve constar: anamnese, observação, hipóteses diagnósticas e sua discussão ----- a pontuação máxima de 8 valores</w:t>
      </w:r>
      <w:r w:rsidR="00944EC6">
        <w:rPr>
          <w:rFonts w:ascii="Verdana" w:hAnsi="Verdana" w:cs="Arial"/>
          <w:sz w:val="20"/>
          <w:szCs w:val="20"/>
        </w:rPr>
        <w:t>.</w:t>
      </w:r>
    </w:p>
    <w:p w:rsidR="007F0B29" w:rsidRPr="00944EC6" w:rsidRDefault="007F0B29" w:rsidP="007F0B29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7F0B29">
        <w:rPr>
          <w:rFonts w:ascii="Verdana" w:hAnsi="Verdana" w:cs="Arial"/>
          <w:sz w:val="20"/>
          <w:szCs w:val="20"/>
        </w:rPr>
        <w:t>Relatório final onde deve constar: relatório do qual deve constar o diagnóstico mais provável, o plano terapêutico, o prognóstico e o plano de seguimento ---- a pontuação máxima de 8 valores</w:t>
      </w:r>
      <w:r w:rsidR="00944EC6">
        <w:rPr>
          <w:rFonts w:ascii="Verdana" w:hAnsi="Verdana" w:cs="Arial"/>
          <w:sz w:val="20"/>
          <w:szCs w:val="20"/>
        </w:rPr>
        <w:t>.</w:t>
      </w:r>
    </w:p>
    <w:p w:rsidR="007F0B29" w:rsidRPr="00944EC6" w:rsidRDefault="007F0B29" w:rsidP="00944EC6">
      <w:pPr>
        <w:spacing w:line="240" w:lineRule="auto"/>
        <w:jc w:val="both"/>
        <w:rPr>
          <w:rFonts w:ascii="Verdana" w:hAnsi="Verdana" w:cs="Arial"/>
          <w:sz w:val="16"/>
          <w:szCs w:val="16"/>
        </w:rPr>
      </w:pP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F0B29">
        <w:rPr>
          <w:rFonts w:ascii="Verdana" w:hAnsi="Verdana" w:cs="Arial"/>
          <w:b/>
          <w:sz w:val="20"/>
          <w:szCs w:val="20"/>
        </w:rPr>
        <w:t>III. Prova teórica</w:t>
      </w: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 xml:space="preserve">A prova teórica destina-se a avaliar a integração e o nível de conhecimentos do candidato e consiste numa prova oral com perguntas elaboradas por pelo menos 3 elementos do júri, que não o orientador de formação, e tem a duração máxima de 2 horas e trinta minutos cabendo metade do tempo ao júri e outra metade ao candidato ------ a pontuação é de </w:t>
      </w:r>
      <w:smartTag w:uri="urn:schemas-microsoft-com:office:smarttags" w:element="metricconverter">
        <w:smartTagPr>
          <w:attr w:name="ProductID" w:val="0 a"/>
        </w:smartTagPr>
        <w:r w:rsidRPr="007F0B29">
          <w:rPr>
            <w:rFonts w:ascii="Verdana" w:hAnsi="Verdana" w:cs="Arial"/>
            <w:sz w:val="20"/>
            <w:szCs w:val="20"/>
          </w:rPr>
          <w:t>0 a</w:t>
        </w:r>
      </w:smartTag>
      <w:r w:rsidRPr="007F0B29">
        <w:rPr>
          <w:rFonts w:ascii="Verdana" w:hAnsi="Verdana" w:cs="Arial"/>
          <w:sz w:val="20"/>
          <w:szCs w:val="20"/>
        </w:rPr>
        <w:t xml:space="preserve"> 20 valores.</w:t>
      </w:r>
    </w:p>
    <w:p w:rsidR="007F0B29" w:rsidRPr="00944EC6" w:rsidRDefault="007F0B29" w:rsidP="00944EC6">
      <w:pPr>
        <w:spacing w:line="240" w:lineRule="auto"/>
        <w:jc w:val="both"/>
        <w:rPr>
          <w:rFonts w:ascii="Verdana" w:hAnsi="Verdana" w:cs="Arial"/>
          <w:sz w:val="16"/>
          <w:szCs w:val="16"/>
        </w:rPr>
      </w:pP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F0B29">
        <w:rPr>
          <w:rFonts w:ascii="Verdana" w:hAnsi="Verdana" w:cs="Arial"/>
          <w:b/>
          <w:sz w:val="20"/>
          <w:szCs w:val="20"/>
        </w:rPr>
        <w:t>IV. Classificação Final</w:t>
      </w:r>
    </w:p>
    <w:p w:rsidR="007F0B29" w:rsidRPr="007F0B29" w:rsidRDefault="007F0B29" w:rsidP="007F0B2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F0B29">
        <w:rPr>
          <w:rFonts w:ascii="Verdana" w:hAnsi="Verdana" w:cs="Arial"/>
          <w:sz w:val="20"/>
          <w:szCs w:val="20"/>
        </w:rPr>
        <w:t>A classificação da avaliação final resulta da média aritmética das classificações obtidas na prov</w:t>
      </w:r>
      <w:r w:rsidR="00944EC6">
        <w:rPr>
          <w:rFonts w:ascii="Verdana" w:hAnsi="Verdana" w:cs="Arial"/>
          <w:sz w:val="20"/>
          <w:szCs w:val="20"/>
        </w:rPr>
        <w:t>a curricular, prática e teórica.</w:t>
      </w:r>
    </w:p>
    <w:sectPr w:rsidR="007F0B29" w:rsidRPr="007F0B29" w:rsidSect="00944EC6">
      <w:headerReference w:type="default" r:id="rId8"/>
      <w:footerReference w:type="default" r:id="rId9"/>
      <w:headerReference w:type="first" r:id="rId10"/>
      <w:pgSz w:w="11906" w:h="16838" w:code="9"/>
      <w:pgMar w:top="720" w:right="720" w:bottom="0" w:left="720" w:header="0" w:footer="3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5A" w:rsidRDefault="0063485A" w:rsidP="00AA4CE1">
      <w:pPr>
        <w:spacing w:after="0" w:line="240" w:lineRule="auto"/>
      </w:pPr>
      <w:r>
        <w:separator/>
      </w:r>
    </w:p>
  </w:endnote>
  <w:endnote w:type="continuationSeparator" w:id="0">
    <w:p w:rsidR="0063485A" w:rsidRDefault="0063485A" w:rsidP="00A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94" w:rsidRDefault="00602D94" w:rsidP="00602D94">
    <w:pPr>
      <w:jc w:val="right"/>
      <w:rPr>
        <w:rFonts w:ascii="Verdana" w:hAnsi="Verdana" w:cs="Calibri"/>
        <w:sz w:val="12"/>
        <w:szCs w:val="12"/>
      </w:rPr>
    </w:pPr>
  </w:p>
  <w:p w:rsidR="00602D94" w:rsidRPr="00602D94" w:rsidRDefault="00602D94" w:rsidP="00602D94">
    <w:pPr>
      <w:jc w:val="right"/>
      <w:rPr>
        <w:rFonts w:ascii="Verdana" w:hAnsi="Verdana" w:cs="Calibri"/>
        <w:b/>
        <w:color w:val="9A7200"/>
        <w:sz w:val="14"/>
        <w:szCs w:val="12"/>
      </w:rPr>
    </w:pPr>
    <w:r w:rsidRPr="00602D94">
      <w:rPr>
        <w:rFonts w:ascii="Verdana" w:hAnsi="Verdana" w:cs="Calibri"/>
        <w:b/>
        <w:color w:val="9A7200"/>
        <w:sz w:val="14"/>
        <w:szCs w:val="12"/>
      </w:rPr>
      <w:t xml:space="preserve">Aprovado pelo Conselho Nacional Executivo em </w:t>
    </w:r>
    <w:r w:rsidR="007F0B29">
      <w:rPr>
        <w:rFonts w:ascii="Verdana" w:hAnsi="Verdana" w:cs="Calibri"/>
        <w:b/>
        <w:color w:val="9A7200"/>
        <w:sz w:val="14"/>
        <w:szCs w:val="12"/>
      </w:rPr>
      <w:t>10 de Abril de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5A" w:rsidRDefault="0063485A" w:rsidP="00AA4CE1">
      <w:pPr>
        <w:spacing w:after="0" w:line="240" w:lineRule="auto"/>
      </w:pPr>
      <w:r>
        <w:separator/>
      </w:r>
    </w:p>
  </w:footnote>
  <w:footnote w:type="continuationSeparator" w:id="0">
    <w:p w:rsidR="0063485A" w:rsidRDefault="0063485A" w:rsidP="00AA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68" w:rsidRDefault="00920F5C" w:rsidP="00944EC6">
    <w:pPr>
      <w:pStyle w:val="Cabealho"/>
      <w:tabs>
        <w:tab w:val="clear" w:pos="4252"/>
        <w:tab w:val="clear" w:pos="8504"/>
      </w:tabs>
      <w:ind w:left="-709"/>
    </w:pPr>
    <w:r>
      <w:rPr>
        <w:noProof/>
        <w:lang w:eastAsia="pt-PT"/>
      </w:rPr>
      <w:drawing>
        <wp:inline distT="0" distB="0" distL="0" distR="0">
          <wp:extent cx="7524750" cy="1375046"/>
          <wp:effectExtent l="0" t="0" r="0" b="0"/>
          <wp:docPr id="4" name="Imagem 4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008" cy="1398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C84" w:rsidRDefault="00B80C84" w:rsidP="00B80C84">
    <w:pPr>
      <w:pStyle w:val="Cabealho"/>
      <w:ind w:left="-709" w:right="-720"/>
    </w:pPr>
    <w:r>
      <w:rPr>
        <w:noProof/>
        <w:lang w:eastAsia="pt-PT"/>
      </w:rPr>
      <w:drawing>
        <wp:inline distT="0" distB="0" distL="0" distR="0">
          <wp:extent cx="7524750" cy="1374775"/>
          <wp:effectExtent l="0" t="0" r="0" b="0"/>
          <wp:docPr id="5" name="Imagem 5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835" cy="1384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4DC"/>
    <w:multiLevelType w:val="hybridMultilevel"/>
    <w:tmpl w:val="9E048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523A1"/>
    <w:multiLevelType w:val="hybridMultilevel"/>
    <w:tmpl w:val="8F148AA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512A2"/>
    <w:multiLevelType w:val="hybridMultilevel"/>
    <w:tmpl w:val="79181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502FC5"/>
    <w:multiLevelType w:val="hybridMultilevel"/>
    <w:tmpl w:val="9CA052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D76C0E"/>
    <w:multiLevelType w:val="hybridMultilevel"/>
    <w:tmpl w:val="0B228D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97C44"/>
    <w:rsid w:val="0002287F"/>
    <w:rsid w:val="000469FE"/>
    <w:rsid w:val="00053EA8"/>
    <w:rsid w:val="000B74B0"/>
    <w:rsid w:val="000C2B7B"/>
    <w:rsid w:val="00100FEC"/>
    <w:rsid w:val="00115DEB"/>
    <w:rsid w:val="00125E0D"/>
    <w:rsid w:val="00154BB2"/>
    <w:rsid w:val="00163533"/>
    <w:rsid w:val="00196115"/>
    <w:rsid w:val="001F277A"/>
    <w:rsid w:val="00222EB9"/>
    <w:rsid w:val="002419A0"/>
    <w:rsid w:val="002807D4"/>
    <w:rsid w:val="00280BD7"/>
    <w:rsid w:val="003473EF"/>
    <w:rsid w:val="00381644"/>
    <w:rsid w:val="00396F25"/>
    <w:rsid w:val="003B631D"/>
    <w:rsid w:val="004224A3"/>
    <w:rsid w:val="00432A63"/>
    <w:rsid w:val="00433FC4"/>
    <w:rsid w:val="0049162D"/>
    <w:rsid w:val="004C2754"/>
    <w:rsid w:val="00561647"/>
    <w:rsid w:val="005776FA"/>
    <w:rsid w:val="005E44F0"/>
    <w:rsid w:val="00602914"/>
    <w:rsid w:val="00602D94"/>
    <w:rsid w:val="0063485A"/>
    <w:rsid w:val="006738C3"/>
    <w:rsid w:val="00684271"/>
    <w:rsid w:val="00692635"/>
    <w:rsid w:val="006E6912"/>
    <w:rsid w:val="0072774F"/>
    <w:rsid w:val="007E5E0B"/>
    <w:rsid w:val="007F0B29"/>
    <w:rsid w:val="007F2C39"/>
    <w:rsid w:val="007F405A"/>
    <w:rsid w:val="007F69E1"/>
    <w:rsid w:val="0082661E"/>
    <w:rsid w:val="008C09FF"/>
    <w:rsid w:val="008C1E00"/>
    <w:rsid w:val="008F22EF"/>
    <w:rsid w:val="00920F5C"/>
    <w:rsid w:val="00944EC6"/>
    <w:rsid w:val="0094533A"/>
    <w:rsid w:val="00946648"/>
    <w:rsid w:val="0099173B"/>
    <w:rsid w:val="009C2802"/>
    <w:rsid w:val="00AA4CE1"/>
    <w:rsid w:val="00B13E9B"/>
    <w:rsid w:val="00B542E3"/>
    <w:rsid w:val="00B55268"/>
    <w:rsid w:val="00B65D0C"/>
    <w:rsid w:val="00B80C84"/>
    <w:rsid w:val="00B86BE5"/>
    <w:rsid w:val="00BA77C0"/>
    <w:rsid w:val="00BF4450"/>
    <w:rsid w:val="00C431F5"/>
    <w:rsid w:val="00CA79EA"/>
    <w:rsid w:val="00CB20B6"/>
    <w:rsid w:val="00CF10B6"/>
    <w:rsid w:val="00E13BD4"/>
    <w:rsid w:val="00E417B0"/>
    <w:rsid w:val="00E4673A"/>
    <w:rsid w:val="00E65BEC"/>
    <w:rsid w:val="00E70889"/>
    <w:rsid w:val="00E8225C"/>
    <w:rsid w:val="00E96F34"/>
    <w:rsid w:val="00E97C44"/>
    <w:rsid w:val="00F47C5E"/>
    <w:rsid w:val="00FD5981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F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97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4CE1"/>
  </w:style>
  <w:style w:type="paragraph" w:styleId="Rodap">
    <w:name w:val="footer"/>
    <w:basedOn w:val="Normal"/>
    <w:link w:val="Rodap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4CE1"/>
  </w:style>
  <w:style w:type="paragraph" w:styleId="Textodebalo">
    <w:name w:val="Balloon Text"/>
    <w:basedOn w:val="Normal"/>
    <w:link w:val="TextodebaloCarcter"/>
    <w:uiPriority w:val="99"/>
    <w:semiHidden/>
    <w:unhideWhenUsed/>
    <w:rsid w:val="00A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C6288-FBE2-4472-8374-36E793F5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Areia</dc:creator>
  <cp:lastModifiedBy>AGomes</cp:lastModifiedBy>
  <cp:revision>2</cp:revision>
  <cp:lastPrinted>2013-11-12T11:40:00Z</cp:lastPrinted>
  <dcterms:created xsi:type="dcterms:W3CDTF">2015-04-21T11:39:00Z</dcterms:created>
  <dcterms:modified xsi:type="dcterms:W3CDTF">2015-04-21T11:39:00Z</dcterms:modified>
</cp:coreProperties>
</file>